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F54953E" wp14:editId="1AEE5DB7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9C" w:rsidRPr="00A51CBC" w:rsidRDefault="00C8689C" w:rsidP="00C8689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Rita Torres Pérez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</w:t>
            </w:r>
            <w:r w:rsidR="00063B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Proyectista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de la Sala Civil-Familiar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</w:t>
            </w:r>
            <w:r w:rsidRPr="00571B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(8 de octubre de 1998)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2788484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Jurídico- Políticas (UAT) 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15/septiembre/1999</w:t>
            </w: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Dr. Hugo Morales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Alanis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en su carácter de Asesor Jurídico del Gobernador del Estado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Administrativo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y  legislativo</w:t>
            </w:r>
            <w:proofErr w:type="gramEnd"/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C8689C" w:rsidRPr="00A51CBC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8689C" w:rsidRPr="00A51CBC" w:rsidTr="00DA2D0C">
        <w:trPr>
          <w:trHeight w:val="37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2006-2009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Jefa de Departamento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( Dirección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Jurídica)   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2009-2018</w:t>
            </w:r>
          </w:p>
        </w:tc>
      </w:tr>
      <w:tr w:rsidR="00C8689C" w:rsidRPr="00A51CBC" w:rsidTr="00DA2D0C">
        <w:trPr>
          <w:trHeight w:val="39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Proyectista  (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>Tercera Ponencia de la Sala Civil-Familiar)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C8689C" w:rsidRPr="00A51CBC" w:rsidTr="00DA2D0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C8689C" w:rsidRPr="00A51CBC" w:rsidTr="00DA2D0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C6F91" w:rsidRPr="00B448FE" w:rsidTr="00DA2D0C">
        <w:trPr>
          <w:trHeight w:val="359"/>
        </w:trPr>
        <w:tc>
          <w:tcPr>
            <w:tcW w:w="993" w:type="dxa"/>
          </w:tcPr>
          <w:p w:rsidR="00CC6F91" w:rsidRPr="00B448FE" w:rsidRDefault="00660B1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CC6F91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Análisis de Sentencias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la  Corte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Interamericana de los Derechos Humanos.”</w:t>
            </w:r>
          </w:p>
        </w:tc>
        <w:tc>
          <w:tcPr>
            <w:tcW w:w="2268" w:type="dxa"/>
          </w:tcPr>
          <w:p w:rsidR="00CC6F91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Comisión Estatal de los Derechos Humanos.</w:t>
            </w:r>
          </w:p>
        </w:tc>
        <w:tc>
          <w:tcPr>
            <w:tcW w:w="1701" w:type="dxa"/>
          </w:tcPr>
          <w:p w:rsidR="00CC6F91" w:rsidRPr="00B448FE" w:rsidRDefault="00CC6F91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marzo 2019</w:t>
            </w:r>
          </w:p>
        </w:tc>
      </w:tr>
      <w:tr w:rsidR="00063B6E" w:rsidRPr="00B448FE" w:rsidTr="00DA2D0C">
        <w:trPr>
          <w:trHeight w:val="359"/>
        </w:trPr>
        <w:tc>
          <w:tcPr>
            <w:tcW w:w="993" w:type="dxa"/>
          </w:tcPr>
          <w:p w:rsidR="00063B6E" w:rsidRPr="00B448FE" w:rsidRDefault="00660B1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3B6E" w:rsidRPr="00B448FE" w:rsidRDefault="00063B6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Magistral “Transversalidad de los enfoques de Género, Derechos Humanos e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Interculturalidad para la Protección Integral y la Defensa de los Derechos Humanos de los Pueblos Indígenas.”</w:t>
            </w:r>
          </w:p>
        </w:tc>
        <w:tc>
          <w:tcPr>
            <w:tcW w:w="2268" w:type="dxa"/>
          </w:tcPr>
          <w:p w:rsidR="00063B6E" w:rsidRPr="00B448FE" w:rsidRDefault="00063B6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Secretaría de Gobierno</w:t>
            </w:r>
          </w:p>
        </w:tc>
        <w:tc>
          <w:tcPr>
            <w:tcW w:w="1701" w:type="dxa"/>
          </w:tcPr>
          <w:p w:rsidR="00063B6E" w:rsidRPr="00B448FE" w:rsidRDefault="00CC6F91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2019</w:t>
            </w:r>
          </w:p>
        </w:tc>
      </w:tr>
      <w:tr w:rsidR="00FF698F" w:rsidRPr="00B448FE" w:rsidTr="00DA2D0C">
        <w:trPr>
          <w:trHeight w:val="372"/>
        </w:trPr>
        <w:tc>
          <w:tcPr>
            <w:tcW w:w="993" w:type="dxa"/>
          </w:tcPr>
          <w:p w:rsidR="00FF698F" w:rsidRPr="00B448FE" w:rsidRDefault="00660B1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FF698F" w:rsidRPr="00B448FE" w:rsidRDefault="00063B6E" w:rsidP="00063B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“aplicación eficaz de las órdenes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protección ,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a la luz de los instrumentos  internacionales en materia de Derechos Humanos de las Mujeres, al Ley General de Acceso de las Mujeres a una vida libre de violencia y la Ley que garantiza el Acceso a una vida libre de violencia en el Estado de Tlaxcala.”</w:t>
            </w:r>
          </w:p>
        </w:tc>
        <w:tc>
          <w:tcPr>
            <w:tcW w:w="2268" w:type="dxa"/>
          </w:tcPr>
          <w:p w:rsidR="00FF698F" w:rsidRPr="00B448FE" w:rsidRDefault="00063B6E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del Instituto Nacional de las Mujeres (INMUJERES)</w:t>
            </w:r>
          </w:p>
        </w:tc>
        <w:tc>
          <w:tcPr>
            <w:tcW w:w="1701" w:type="dxa"/>
          </w:tcPr>
          <w:p w:rsidR="00FF698F" w:rsidRPr="00B448FE" w:rsidRDefault="00063B6E" w:rsidP="00B448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2019</w:t>
            </w:r>
          </w:p>
        </w:tc>
      </w:tr>
      <w:tr w:rsidR="006D4A48" w:rsidRPr="00B448FE" w:rsidTr="00DA2D0C">
        <w:trPr>
          <w:trHeight w:val="372"/>
        </w:trPr>
        <w:tc>
          <w:tcPr>
            <w:tcW w:w="993" w:type="dxa"/>
          </w:tcPr>
          <w:p w:rsidR="006D4A48" w:rsidRPr="00B448FE" w:rsidRDefault="00660B1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6D4A48" w:rsidRDefault="006D4A48" w:rsidP="006D4A4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Simposium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“Impacto de la reforma laboral en la administración de justicia local”</w:t>
            </w:r>
          </w:p>
          <w:p w:rsidR="006D4A48" w:rsidRDefault="006D4A48" w:rsidP="00063B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6D4A48" w:rsidRDefault="006D4A48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:rsidR="006D4A48" w:rsidRDefault="006D4A48" w:rsidP="00B448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 de agosto de 2019</w:t>
            </w:r>
          </w:p>
        </w:tc>
      </w:tr>
      <w:tr w:rsidR="006D4A48" w:rsidRPr="00B448FE" w:rsidTr="00DA2D0C">
        <w:trPr>
          <w:trHeight w:val="372"/>
        </w:trPr>
        <w:tc>
          <w:tcPr>
            <w:tcW w:w="993" w:type="dxa"/>
          </w:tcPr>
          <w:p w:rsidR="006D4A48" w:rsidRDefault="00660B1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6D4A48" w:rsidRDefault="00660B11" w:rsidP="006D4A48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60B11">
              <w:rPr>
                <w:rFonts w:eastAsia="Times New Roman" w:cs="Arial"/>
                <w:b/>
                <w:color w:val="000000"/>
                <w:lang w:eastAsia="es-MX"/>
              </w:rPr>
              <w:t>Derechos humanos de la juventud Indígena y afrodescendiente</w:t>
            </w:r>
          </w:p>
        </w:tc>
        <w:tc>
          <w:tcPr>
            <w:tcW w:w="2268" w:type="dxa"/>
          </w:tcPr>
          <w:p w:rsidR="006D4A48" w:rsidRDefault="006D4A48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:rsidR="006D4A48" w:rsidRDefault="00660B11" w:rsidP="00B448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de septiembre de 2019</w:t>
            </w:r>
          </w:p>
        </w:tc>
      </w:tr>
    </w:tbl>
    <w:p w:rsidR="00C8689C" w:rsidRPr="00B448FE" w:rsidRDefault="00C8689C" w:rsidP="00C8689C">
      <w:pPr>
        <w:spacing w:after="0" w:line="240" w:lineRule="auto"/>
        <w:rPr>
          <w:rFonts w:eastAsia="Times New Roman" w:cs="Arial"/>
          <w:b/>
          <w:color w:val="000000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801536" w:rsidRDefault="00CC6F91" w:rsidP="00CC6F91">
      <w:pPr>
        <w:tabs>
          <w:tab w:val="left" w:pos="1830"/>
        </w:tabs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  <w:tab/>
      </w: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C8689C" w:rsidRPr="00801536" w:rsidTr="00DA2D0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C8689C" w:rsidRPr="00801536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A80741" w:rsidRDefault="00C8689C" w:rsidP="00DA2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C8689C" w:rsidRPr="00801536" w:rsidTr="00DA2D0C">
        <w:trPr>
          <w:trHeight w:val="37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1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4D7040" w:rsidP="004D70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90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8689C" w:rsidRPr="00801536" w:rsidTr="00DA2D0C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C8689C" w:rsidRPr="00715A9C" w:rsidTr="00DA2D0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C8689C" w:rsidRPr="00715A9C" w:rsidRDefault="00C8689C" w:rsidP="00CC6F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660B11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660B1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C8689C" w:rsidRPr="00715A9C" w:rsidTr="00DA2D0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41A45" w:rsidRDefault="00341A45"/>
    <w:sectPr w:rsidR="00341A45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9C"/>
    <w:rsid w:val="00063B6E"/>
    <w:rsid w:val="00150B9F"/>
    <w:rsid w:val="00341A45"/>
    <w:rsid w:val="004D7040"/>
    <w:rsid w:val="005A08D6"/>
    <w:rsid w:val="00660B11"/>
    <w:rsid w:val="006D4A48"/>
    <w:rsid w:val="007118AE"/>
    <w:rsid w:val="00A21AA5"/>
    <w:rsid w:val="00B448FE"/>
    <w:rsid w:val="00C8689C"/>
    <w:rsid w:val="00CC6F91"/>
    <w:rsid w:val="00DC2449"/>
    <w:rsid w:val="00F412C2"/>
    <w:rsid w:val="00F569A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3BF22-DD77-4AC5-B78A-E7327330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PJTLX-130-01</cp:lastModifiedBy>
  <cp:revision>2</cp:revision>
  <dcterms:created xsi:type="dcterms:W3CDTF">2019-10-18T15:06:00Z</dcterms:created>
  <dcterms:modified xsi:type="dcterms:W3CDTF">2019-10-18T15:06:00Z</dcterms:modified>
</cp:coreProperties>
</file>