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BA73A9" w:rsidRDefault="000550A2" w:rsidP="00BA73A9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BA73A9">
        <w:rPr>
          <w:rFonts w:asciiTheme="majorHAnsi" w:hAnsiTheme="majorHAnsi" w:cstheme="majorHAnsi"/>
        </w:rPr>
        <w:tab/>
      </w:r>
      <w:r w:rsidRPr="00BA73A9">
        <w:rPr>
          <w:rFonts w:asciiTheme="majorHAnsi" w:hAnsiTheme="majorHAnsi" w:cstheme="majorHAnsi"/>
          <w:b/>
        </w:rPr>
        <w:t xml:space="preserve">ACTA NÚMERO: </w:t>
      </w:r>
      <w:r w:rsidR="002B02C2" w:rsidRPr="00BA73A9">
        <w:rPr>
          <w:rFonts w:asciiTheme="majorHAnsi" w:hAnsiTheme="majorHAnsi" w:cstheme="majorHAnsi"/>
          <w:b/>
        </w:rPr>
        <w:t>10</w:t>
      </w:r>
      <w:r w:rsidR="00C61540" w:rsidRPr="00BA73A9">
        <w:rPr>
          <w:rFonts w:asciiTheme="majorHAnsi" w:hAnsiTheme="majorHAnsi" w:cstheme="majorHAnsi"/>
          <w:b/>
        </w:rPr>
        <w:t>/</w:t>
      </w:r>
      <w:r w:rsidRPr="00BA73A9">
        <w:rPr>
          <w:rFonts w:asciiTheme="majorHAnsi" w:hAnsiTheme="majorHAnsi" w:cstheme="majorHAnsi"/>
          <w:b/>
        </w:rPr>
        <w:t>201</w:t>
      </w:r>
      <w:r w:rsidR="00F429E9" w:rsidRPr="00BA73A9">
        <w:rPr>
          <w:rFonts w:asciiTheme="majorHAnsi" w:hAnsiTheme="majorHAnsi" w:cstheme="majorHAnsi"/>
          <w:b/>
        </w:rPr>
        <w:t>9</w:t>
      </w:r>
    </w:p>
    <w:p w:rsidR="002B02C2" w:rsidRPr="00BA73A9" w:rsidRDefault="000550A2" w:rsidP="00BA73A9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 w:rsidRPr="00BA73A9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A LAS </w:t>
      </w:r>
      <w:r w:rsidR="001E7938" w:rsidRPr="00BA73A9">
        <w:rPr>
          <w:rFonts w:asciiTheme="majorHAnsi" w:hAnsiTheme="majorHAnsi" w:cstheme="majorHAnsi"/>
        </w:rPr>
        <w:t>DOCE</w:t>
      </w:r>
      <w:r w:rsidR="008B6338" w:rsidRPr="00BA73A9">
        <w:rPr>
          <w:rFonts w:asciiTheme="majorHAnsi" w:hAnsiTheme="majorHAnsi" w:cstheme="majorHAnsi"/>
        </w:rPr>
        <w:t xml:space="preserve"> </w:t>
      </w:r>
      <w:r w:rsidRPr="00BA73A9">
        <w:rPr>
          <w:rFonts w:asciiTheme="majorHAnsi" w:hAnsiTheme="majorHAnsi" w:cstheme="majorHAnsi"/>
        </w:rPr>
        <w:t>HORAS</w:t>
      </w:r>
      <w:r w:rsidR="00EB3EF3" w:rsidRPr="00BA73A9">
        <w:rPr>
          <w:rFonts w:asciiTheme="majorHAnsi" w:hAnsiTheme="majorHAnsi" w:cstheme="majorHAnsi"/>
        </w:rPr>
        <w:t xml:space="preserve"> </w:t>
      </w:r>
      <w:r w:rsidR="00204092" w:rsidRPr="00BA73A9">
        <w:rPr>
          <w:rFonts w:asciiTheme="majorHAnsi" w:hAnsiTheme="majorHAnsi" w:cstheme="majorHAnsi"/>
        </w:rPr>
        <w:t xml:space="preserve">DEL </w:t>
      </w:r>
      <w:r w:rsidR="002B02C2" w:rsidRPr="00BA73A9">
        <w:rPr>
          <w:rFonts w:asciiTheme="majorHAnsi" w:hAnsiTheme="majorHAnsi" w:cstheme="majorHAnsi"/>
        </w:rPr>
        <w:t>CATORCE</w:t>
      </w:r>
      <w:r w:rsidR="00072AAD" w:rsidRPr="00BA73A9">
        <w:rPr>
          <w:rFonts w:asciiTheme="majorHAnsi" w:hAnsiTheme="majorHAnsi" w:cstheme="majorHAnsi"/>
        </w:rPr>
        <w:t xml:space="preserve"> DE </w:t>
      </w:r>
      <w:r w:rsidR="006A14B3" w:rsidRPr="00BA73A9">
        <w:rPr>
          <w:rFonts w:asciiTheme="majorHAnsi" w:hAnsiTheme="majorHAnsi" w:cstheme="majorHAnsi"/>
        </w:rPr>
        <w:t>FEBRERO</w:t>
      </w:r>
      <w:r w:rsidR="00BD237C" w:rsidRPr="00BA73A9">
        <w:rPr>
          <w:rFonts w:asciiTheme="majorHAnsi" w:hAnsiTheme="majorHAnsi" w:cstheme="majorHAnsi"/>
        </w:rPr>
        <w:t xml:space="preserve"> </w:t>
      </w:r>
      <w:r w:rsidRPr="00BA73A9">
        <w:rPr>
          <w:rFonts w:asciiTheme="majorHAnsi" w:hAnsiTheme="majorHAnsi" w:cstheme="majorHAnsi"/>
        </w:rPr>
        <w:t>DEL AÑO DOS MIL DIECI</w:t>
      </w:r>
      <w:r w:rsidR="006A14B3" w:rsidRPr="00BA73A9">
        <w:rPr>
          <w:rFonts w:asciiTheme="majorHAnsi" w:hAnsiTheme="majorHAnsi" w:cstheme="majorHAnsi"/>
        </w:rPr>
        <w:t>NUEVE</w:t>
      </w:r>
      <w:r w:rsidRPr="00BA73A9">
        <w:rPr>
          <w:rFonts w:asciiTheme="majorHAnsi" w:hAnsiTheme="majorHAnsi" w:cstheme="majorHAnsi"/>
        </w:rPr>
        <w:t xml:space="preserve">, </w:t>
      </w:r>
      <w:r w:rsidR="002B02C2" w:rsidRPr="00BA73A9">
        <w:rPr>
          <w:rFonts w:asciiTheme="majorHAnsi" w:eastAsia="Batang" w:hAnsiTheme="majorHAnsi" w:cstheme="majorHAnsi"/>
        </w:rPr>
        <w:t xml:space="preserve">EN LA SALA DE JUNTAS DE LA PRESIDENCIA DEL TRIBUNAL SUPERIOR DE JUSTICIA, </w:t>
      </w:r>
      <w:r w:rsidR="002B02C2" w:rsidRPr="00BA73A9">
        <w:rPr>
          <w:rFonts w:asciiTheme="majorHAnsi" w:hAnsiTheme="majorHAnsi" w:cstheme="majorHAnsi"/>
          <w:color w:val="000000"/>
        </w:rPr>
        <w:t>CON SEDE EN PALACIO DE JUSTICIA, EN LA CIUDAD DE TLAXCALA</w:t>
      </w:r>
      <w:r w:rsidR="002B02C2" w:rsidRPr="00BA73A9">
        <w:rPr>
          <w:rFonts w:asciiTheme="majorHAnsi" w:hAnsiTheme="majorHAnsi" w:cstheme="majorHAnsi"/>
        </w:rPr>
        <w:t>, TLAX., BAJO EL SIGUIENT</w:t>
      </w:r>
      <w:r w:rsidR="002B02C2" w:rsidRPr="00BA73A9">
        <w:rPr>
          <w:rFonts w:asciiTheme="majorHAnsi" w:hAnsiTheme="majorHAnsi" w:cstheme="majorHAnsi"/>
          <w:bCs/>
        </w:rPr>
        <w:t>E:</w:t>
      </w:r>
      <w:r w:rsidR="002B02C2" w:rsidRPr="00BA73A9">
        <w:rPr>
          <w:rFonts w:asciiTheme="majorHAnsi" w:hAnsiTheme="majorHAnsi" w:cstheme="majorHAnsi"/>
          <w:b/>
          <w:bCs/>
        </w:rPr>
        <w:t xml:space="preserve"> </w:t>
      </w:r>
    </w:p>
    <w:p w:rsidR="002B02C2" w:rsidRPr="00BA73A9" w:rsidRDefault="002B02C2" w:rsidP="00BA73A9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BA73A9">
        <w:rPr>
          <w:rFonts w:asciiTheme="majorHAnsi" w:hAnsiTheme="majorHAnsi" w:cstheme="majorHAnsi"/>
          <w:b/>
          <w:bCs/>
        </w:rPr>
        <w:t>ORDEN DEL DÍA:</w:t>
      </w:r>
    </w:p>
    <w:p w:rsidR="002B02C2" w:rsidRPr="00BA73A9" w:rsidRDefault="002B02C2" w:rsidP="00BA73A9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</w:rPr>
        <w:t>Verificación del quórum.</w:t>
      </w:r>
    </w:p>
    <w:p w:rsidR="002B02C2" w:rsidRPr="00BA73A9" w:rsidRDefault="002B02C2" w:rsidP="00BA73A9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</w:rPr>
        <w:t xml:space="preserve">Cuenta de la Secretaria Ejecutiva con el acta de informe de dictamen técnico y apertura de propuestas económicas, relacionada con el procedimiento de Licitación Pública Nacional PJET/LPN/002-2019, relativa a la adquisición de material de papelería para todas las áreas del Poder Judicial del Estado, para el ejercicio 2019, en seguimiento al acuerdo II/02/2019. </w:t>
      </w:r>
    </w:p>
    <w:p w:rsidR="002B02C2" w:rsidRPr="00BA73A9" w:rsidRDefault="002B02C2" w:rsidP="00BA73A9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</w:rPr>
        <w:t>Cuenta de la Secretaria Ejecutiva con el acta de informe de dictamen técnico y apertura de propuestas económicas, relacionada con el procedimiento de Licitación Pública Nacional PJET/LPN/003-2019, relativa a la adquisición de material de limpieza para las áreas del Poder Judicial del Estado, para el ejercicio 2019, en seguimiento al acuerdo III/02/2019.</w:t>
      </w:r>
    </w:p>
    <w:p w:rsidR="002B02C2" w:rsidRPr="00BA73A9" w:rsidRDefault="002B02C2" w:rsidP="00BA73A9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</w:rPr>
        <w:t>Cuenta de la Secretaria Ejecutiva con el acta de informe de dictamen técnico y apertura de propuestas económicas, relacionada con el procedimiento de Licitación Pública Nacional PJET/LPN/004-2019, relativa a la adquisición del servicio de impermeabilización del edificio sede de “Ciudad Judicial”, en seguimiento al acuerdo IV/02/2019.</w:t>
      </w:r>
    </w:p>
    <w:p w:rsidR="002B02C2" w:rsidRPr="00BA73A9" w:rsidRDefault="002B02C2" w:rsidP="00BA73A9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</w:rPr>
        <w:t>Cuenta de la Secretaria Ejecutiva con la propuesta para la contratación de servicios profesionales de auditoría profesional y evaluación de riesgos a la cuenta pública, correspondiente a los ejercicios 2017 y 2018.</w:t>
      </w:r>
    </w:p>
    <w:p w:rsidR="000550A2" w:rsidRPr="00BA73A9" w:rsidRDefault="000550A2" w:rsidP="00BA73A9">
      <w:pPr>
        <w:spacing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>Dr.</w:t>
            </w:r>
            <w:r w:rsidRPr="00BA73A9">
              <w:rPr>
                <w:rFonts w:asciiTheme="majorHAnsi" w:hAnsiTheme="majorHAnsi" w:cstheme="majorHAnsi"/>
              </w:rPr>
              <w:t xml:space="preserve"> </w:t>
            </w:r>
            <w:r w:rsidRPr="00BA73A9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BA73A9">
              <w:rPr>
                <w:rFonts w:asciiTheme="majorHAnsi" w:hAnsiTheme="majorHAnsi" w:cstheme="majorHAnsi"/>
                <w:b/>
              </w:rPr>
              <w:t>,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BA73A9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BA73A9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 Presente- - - - - - - - 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lastRenderedPageBreak/>
              <w:t xml:space="preserve">Licenciada Leticia Caballero Muñoz, integrante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BA73A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BA73A9" w:rsidTr="0068657C">
              <w:tc>
                <w:tcPr>
                  <w:tcW w:w="6141" w:type="dxa"/>
                  <w:hideMark/>
                </w:tcPr>
                <w:p w:rsidR="00E12D44" w:rsidRPr="00BA73A9" w:rsidRDefault="00E12D44" w:rsidP="00BA73A9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BA73A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BA73A9" w:rsidRDefault="00E12D44" w:rsidP="00BA73A9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  <w:r w:rsidR="002037C2" w:rsidRPr="00BA73A9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BA73A9" w:rsidRDefault="002037C2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Presente</w:t>
            </w:r>
            <w:r w:rsidR="00E12D44" w:rsidRPr="00BA73A9">
              <w:rPr>
                <w:rFonts w:asciiTheme="majorHAnsi" w:hAnsiTheme="majorHAnsi" w:cstheme="majorHAnsi"/>
              </w:rPr>
              <w:t xml:space="preserve"> </w:t>
            </w:r>
            <w:r w:rsidRPr="00BA73A9">
              <w:rPr>
                <w:rFonts w:asciiTheme="majorHAnsi" w:hAnsiTheme="majorHAnsi" w:cstheme="majorHAnsi"/>
              </w:rPr>
              <w:t>- - - - - - - - - -</w:t>
            </w:r>
          </w:p>
        </w:tc>
      </w:tr>
      <w:tr w:rsidR="00113604" w:rsidRPr="00BA73A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BA73A9" w:rsidTr="0068657C">
              <w:tc>
                <w:tcPr>
                  <w:tcW w:w="6141" w:type="dxa"/>
                  <w:hideMark/>
                </w:tcPr>
                <w:p w:rsidR="00E12D44" w:rsidRPr="00BA73A9" w:rsidRDefault="00E12D44" w:rsidP="00BA73A9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BA73A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BA73A9" w:rsidRDefault="00E12D44" w:rsidP="00BA73A9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73A9">
              <w:rPr>
                <w:rFonts w:asciiTheme="majorHAnsi" w:hAnsiTheme="majorHAnsi" w:cstheme="majorHAnsi"/>
                <w:b/>
              </w:rPr>
              <w:t>Licenciad</w:t>
            </w:r>
            <w:r w:rsidR="00BD237C" w:rsidRPr="00BA73A9">
              <w:rPr>
                <w:rFonts w:asciiTheme="majorHAnsi" w:hAnsiTheme="majorHAnsi" w:cstheme="majorHAnsi"/>
                <w:b/>
              </w:rPr>
              <w:t>o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BD237C" w:rsidRPr="00BA73A9">
              <w:rPr>
                <w:rFonts w:asciiTheme="majorHAnsi" w:hAnsiTheme="majorHAnsi" w:cstheme="majorHAnsi"/>
                <w:b/>
              </w:rPr>
              <w:t>Noé Cuecuecha Rugerio</w:t>
            </w:r>
            <w:r w:rsidRPr="00BA73A9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BA73A9">
              <w:rPr>
                <w:rFonts w:asciiTheme="majorHAnsi" w:hAnsiTheme="majorHAnsi" w:cstheme="majorHAnsi"/>
              </w:rPr>
              <w:t xml:space="preserve"> 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BA73A9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>Contador</w:t>
            </w:r>
            <w:r w:rsidR="00077989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Públic</w:t>
            </w:r>
            <w:r w:rsidR="00077989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077989">
              <w:rPr>
                <w:rFonts w:asciiTheme="majorHAnsi" w:hAnsiTheme="majorHAnsi" w:cstheme="majorHAnsi"/>
                <w:b/>
              </w:rPr>
              <w:t>Lilian Rivera Nava</w:t>
            </w:r>
            <w:r w:rsidRPr="00BA73A9">
              <w:rPr>
                <w:rFonts w:asciiTheme="majorHAnsi" w:hAnsiTheme="majorHAnsi" w:cstheme="majorHAnsi"/>
                <w:b/>
              </w:rPr>
              <w:t>,Tesorer</w:t>
            </w:r>
            <w:r w:rsidR="00077989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del Poder Judicial del Estado, </w:t>
            </w:r>
            <w:r w:rsidRPr="00BA73A9">
              <w:rPr>
                <w:rFonts w:asciiTheme="majorHAnsi" w:hAnsiTheme="majorHAnsi" w:cstheme="majorHAnsi"/>
              </w:rPr>
              <w:t>con voz.</w:t>
            </w:r>
            <w:r w:rsidRPr="00BA73A9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  <w:r w:rsidR="002B4EAC" w:rsidRPr="00BA73A9">
              <w:rPr>
                <w:rFonts w:asciiTheme="majorHAnsi" w:hAnsiTheme="majorHAnsi" w:cstheme="majorHAnsi"/>
              </w:rPr>
              <w:t xml:space="preserve">Presente </w:t>
            </w:r>
            <w:r w:rsidRPr="00BA73A9">
              <w:rPr>
                <w:rFonts w:asciiTheme="majorHAnsi" w:hAnsiTheme="majorHAnsi" w:cstheme="majorHAnsi"/>
              </w:rPr>
              <w:t xml:space="preserve"> - - - - - - - - -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FD5B21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Georgette Alejandra Pointelin </w:t>
            </w:r>
            <w:r w:rsidR="008B6338" w:rsidRPr="00BA73A9">
              <w:rPr>
                <w:rFonts w:asciiTheme="majorHAnsi" w:hAnsiTheme="majorHAnsi" w:cstheme="majorHAnsi"/>
                <w:b/>
              </w:rPr>
              <w:t>G</w:t>
            </w:r>
            <w:r w:rsidRPr="00BA73A9">
              <w:rPr>
                <w:rFonts w:asciiTheme="majorHAnsi" w:hAnsiTheme="majorHAnsi" w:cstheme="majorHAnsi"/>
                <w:b/>
              </w:rPr>
              <w:t>onzález</w:t>
            </w:r>
            <w:r w:rsidR="00E12D44" w:rsidRPr="00BA73A9">
              <w:rPr>
                <w:rFonts w:asciiTheme="majorHAnsi" w:hAnsiTheme="majorHAnsi" w:cstheme="majorHAnsi"/>
                <w:b/>
              </w:rPr>
              <w:t>, Secretari</w:t>
            </w:r>
            <w:r w:rsidRPr="00BA73A9">
              <w:rPr>
                <w:rFonts w:asciiTheme="majorHAnsi" w:hAnsiTheme="majorHAnsi" w:cstheme="majorHAnsi"/>
                <w:b/>
              </w:rPr>
              <w:t>a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 Ejecutiv</w:t>
            </w:r>
            <w:r w:rsidRPr="00BA73A9">
              <w:rPr>
                <w:rFonts w:asciiTheme="majorHAnsi" w:hAnsiTheme="majorHAnsi" w:cstheme="majorHAnsi"/>
                <w:b/>
              </w:rPr>
              <w:t>a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BA73A9">
              <w:rPr>
                <w:rFonts w:asciiTheme="majorHAnsi" w:hAnsiTheme="majorHAnsi" w:cstheme="majorHAnsi"/>
              </w:rPr>
              <w:t>con voz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.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135121" w:rsidRPr="00BA73A9" w:rsidRDefault="00135121" w:rsidP="00BA73A9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0550A2" w:rsidRPr="00BA73A9" w:rsidRDefault="000550A2" w:rsidP="00BA73A9">
      <w:pPr>
        <w:spacing w:after="0"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 xml:space="preserve">DECLARATORIA DE QUORUM. </w:t>
      </w:r>
    </w:p>
    <w:p w:rsidR="00ED20C5" w:rsidRPr="00BA73A9" w:rsidRDefault="000550A2" w:rsidP="00BA73A9">
      <w:pPr>
        <w:spacing w:after="0"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  <w:b/>
        </w:rPr>
        <w:t>En uso de la palabra, l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Secretari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Ejecutiv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dijo</w:t>
      </w:r>
      <w:r w:rsidRPr="00BA73A9">
        <w:rPr>
          <w:rFonts w:asciiTheme="majorHAnsi" w:hAnsiTheme="majorHAnsi" w:cstheme="majorHAnsi"/>
        </w:rPr>
        <w:t>: President</w:t>
      </w:r>
      <w:r w:rsidR="00854D86" w:rsidRPr="00BA73A9">
        <w:rPr>
          <w:rFonts w:asciiTheme="majorHAnsi" w:hAnsiTheme="majorHAnsi" w:cstheme="majorHAnsi"/>
        </w:rPr>
        <w:t>e</w:t>
      </w:r>
      <w:r w:rsidRPr="00BA73A9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BA73A9">
        <w:rPr>
          <w:rFonts w:asciiTheme="majorHAnsi" w:hAnsiTheme="majorHAnsi" w:cstheme="majorHAnsi"/>
        </w:rPr>
        <w:t xml:space="preserve"> los ocho</w:t>
      </w:r>
      <w:r w:rsidR="00C61540" w:rsidRPr="00BA73A9">
        <w:rPr>
          <w:rFonts w:asciiTheme="majorHAnsi" w:hAnsiTheme="majorHAnsi" w:cstheme="majorHAnsi"/>
        </w:rPr>
        <w:t xml:space="preserve"> </w:t>
      </w:r>
      <w:r w:rsidR="00E12D44" w:rsidRPr="00BA73A9">
        <w:rPr>
          <w:rFonts w:asciiTheme="majorHAnsi" w:hAnsiTheme="majorHAnsi" w:cstheme="majorHAnsi"/>
        </w:rPr>
        <w:t xml:space="preserve">integrantes, </w:t>
      </w:r>
      <w:r w:rsidR="007D35C0" w:rsidRPr="00BA73A9">
        <w:rPr>
          <w:rFonts w:asciiTheme="majorHAnsi" w:hAnsiTheme="majorHAnsi" w:cstheme="majorHAnsi"/>
        </w:rPr>
        <w:t>seis</w:t>
      </w:r>
      <w:r w:rsidR="00E12D44" w:rsidRPr="00BA73A9">
        <w:rPr>
          <w:rFonts w:asciiTheme="majorHAnsi" w:hAnsiTheme="majorHAnsi" w:cstheme="majorHAnsi"/>
        </w:rPr>
        <w:t xml:space="preserve"> </w:t>
      </w:r>
      <w:r w:rsidRPr="00BA73A9">
        <w:rPr>
          <w:rFonts w:asciiTheme="majorHAnsi" w:hAnsiTheme="majorHAnsi" w:cstheme="majorHAnsi"/>
        </w:rPr>
        <w:t xml:space="preserve">con derecho a voz y voto y </w:t>
      </w:r>
      <w:r w:rsidR="00FD5B21" w:rsidRPr="00BA73A9">
        <w:rPr>
          <w:rFonts w:asciiTheme="majorHAnsi" w:hAnsiTheme="majorHAnsi" w:cstheme="majorHAnsi"/>
        </w:rPr>
        <w:t>dos</w:t>
      </w:r>
      <w:r w:rsidRPr="00BA73A9">
        <w:rPr>
          <w:rFonts w:asciiTheme="majorHAnsi" w:hAnsiTheme="majorHAnsi" w:cstheme="majorHAnsi"/>
        </w:rPr>
        <w:t xml:space="preserve"> con derecho sólo a voz</w:t>
      </w:r>
      <w:r w:rsidR="00C61540" w:rsidRPr="00BA73A9">
        <w:rPr>
          <w:rFonts w:asciiTheme="majorHAnsi" w:hAnsiTheme="majorHAnsi" w:cstheme="majorHAnsi"/>
        </w:rPr>
        <w:t xml:space="preserve">, </w:t>
      </w:r>
      <w:r w:rsidRPr="00BA73A9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BA73A9">
        <w:rPr>
          <w:rFonts w:asciiTheme="majorHAnsi" w:hAnsiTheme="majorHAnsi" w:cstheme="majorHAnsi"/>
        </w:rPr>
        <w:t xml:space="preserve">. </w:t>
      </w:r>
      <w:r w:rsidRPr="00BA73A9">
        <w:rPr>
          <w:rFonts w:asciiTheme="majorHAnsi" w:hAnsiTheme="majorHAnsi" w:cstheme="majorHAnsi"/>
          <w:b/>
        </w:rPr>
        <w:t xml:space="preserve">En uso de la palabra, </w:t>
      </w:r>
      <w:r w:rsidR="00485294" w:rsidRPr="00BA73A9">
        <w:rPr>
          <w:rFonts w:asciiTheme="majorHAnsi" w:hAnsiTheme="majorHAnsi" w:cstheme="majorHAnsi"/>
          <w:b/>
        </w:rPr>
        <w:t>e</w:t>
      </w:r>
      <w:r w:rsidRPr="00BA73A9">
        <w:rPr>
          <w:rFonts w:asciiTheme="majorHAnsi" w:hAnsiTheme="majorHAnsi" w:cstheme="majorHAnsi"/>
          <w:b/>
        </w:rPr>
        <w:t>l Magistrad</w:t>
      </w:r>
      <w:r w:rsidR="00485294" w:rsidRPr="00BA73A9">
        <w:rPr>
          <w:rFonts w:asciiTheme="majorHAnsi" w:hAnsiTheme="majorHAnsi" w:cstheme="majorHAnsi"/>
          <w:b/>
        </w:rPr>
        <w:t>o</w:t>
      </w:r>
      <w:r w:rsidRPr="00BA73A9">
        <w:rPr>
          <w:rFonts w:asciiTheme="majorHAnsi" w:hAnsiTheme="majorHAnsi" w:cstheme="majorHAnsi"/>
          <w:b/>
        </w:rPr>
        <w:t xml:space="preserve"> President</w:t>
      </w:r>
      <w:r w:rsidR="00485294" w:rsidRPr="00BA73A9">
        <w:rPr>
          <w:rFonts w:asciiTheme="majorHAnsi" w:hAnsiTheme="majorHAnsi" w:cstheme="majorHAnsi"/>
          <w:b/>
        </w:rPr>
        <w:t>e</w:t>
      </w:r>
      <w:r w:rsidRPr="00BA73A9">
        <w:rPr>
          <w:rFonts w:asciiTheme="majorHAnsi" w:hAnsiTheme="majorHAnsi" w:cstheme="majorHAnsi"/>
          <w:b/>
        </w:rPr>
        <w:t xml:space="preserve"> dijo: </w:t>
      </w:r>
      <w:r w:rsidRPr="00BA73A9">
        <w:rPr>
          <w:rFonts w:asciiTheme="majorHAnsi" w:hAnsiTheme="majorHAnsi" w:cstheme="majorHAnsi"/>
        </w:rPr>
        <w:t>una vez escuchado el informe de</w:t>
      </w:r>
      <w:r w:rsidR="00FD5B21" w:rsidRPr="00BA73A9">
        <w:rPr>
          <w:rFonts w:asciiTheme="majorHAnsi" w:hAnsiTheme="majorHAnsi" w:cstheme="majorHAnsi"/>
        </w:rPr>
        <w:t xml:space="preserve"> la</w:t>
      </w:r>
      <w:r w:rsidRPr="00BA73A9">
        <w:rPr>
          <w:rFonts w:asciiTheme="majorHAnsi" w:hAnsiTheme="majorHAnsi" w:cstheme="majorHAnsi"/>
        </w:rPr>
        <w:t xml:space="preserve"> Secretari</w:t>
      </w:r>
      <w:r w:rsidR="00FD5B21" w:rsidRPr="00BA73A9">
        <w:rPr>
          <w:rFonts w:asciiTheme="majorHAnsi" w:hAnsiTheme="majorHAnsi" w:cstheme="majorHAnsi"/>
        </w:rPr>
        <w:t>a</w:t>
      </w:r>
      <w:r w:rsidRPr="00BA73A9">
        <w:rPr>
          <w:rFonts w:asciiTheme="majorHAnsi" w:hAnsiTheme="majorHAnsi" w:cstheme="majorHAnsi"/>
        </w:rPr>
        <w:t xml:space="preserve"> Ejecutiv</w:t>
      </w:r>
      <w:r w:rsidR="00FD5B21" w:rsidRPr="00BA73A9">
        <w:rPr>
          <w:rFonts w:asciiTheme="majorHAnsi" w:hAnsiTheme="majorHAnsi" w:cstheme="majorHAnsi"/>
        </w:rPr>
        <w:t>a</w:t>
      </w:r>
      <w:r w:rsidRPr="00BA73A9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BA73A9">
        <w:rPr>
          <w:rFonts w:asciiTheme="majorHAnsi" w:hAnsiTheme="majorHAnsi" w:cstheme="majorHAnsi"/>
        </w:rPr>
        <w:t xml:space="preserve"> tengan la validez que en derecho corresponde. </w:t>
      </w:r>
      <w:r w:rsidR="001E0114" w:rsidRPr="00BA73A9">
        <w:rPr>
          <w:rFonts w:asciiTheme="majorHAnsi" w:hAnsiTheme="majorHAnsi" w:cstheme="majorHAnsi"/>
        </w:rPr>
        <w:t xml:space="preserve"> </w:t>
      </w:r>
      <w:r w:rsidR="00854D86" w:rsidRPr="00BA73A9">
        <w:rPr>
          <w:rFonts w:asciiTheme="majorHAnsi" w:hAnsiTheme="majorHAnsi" w:cstheme="majorHAnsi"/>
        </w:rPr>
        <w:t xml:space="preserve">- - - - - - </w:t>
      </w:r>
      <w:r w:rsidR="00603C8E" w:rsidRPr="00BA73A9">
        <w:rPr>
          <w:rFonts w:asciiTheme="majorHAnsi" w:hAnsiTheme="majorHAnsi" w:cstheme="majorHAnsi"/>
        </w:rPr>
        <w:t xml:space="preserve"> </w:t>
      </w:r>
      <w:r w:rsidR="00FD5B21" w:rsidRPr="00BA73A9">
        <w:rPr>
          <w:rFonts w:asciiTheme="majorHAnsi" w:hAnsiTheme="majorHAnsi" w:cstheme="majorHAnsi"/>
        </w:rPr>
        <w:t xml:space="preserve"> </w:t>
      </w:r>
    </w:p>
    <w:p w:rsidR="00690101" w:rsidRPr="00BA73A9" w:rsidRDefault="00690101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bookmarkStart w:id="0" w:name="_Hlk1392530"/>
      <w:r w:rsidRPr="00BA73A9">
        <w:rPr>
          <w:rFonts w:asciiTheme="majorHAnsi" w:eastAsia="Batang" w:hAnsiTheme="majorHAnsi" w:cstheme="majorHAnsi"/>
          <w:b/>
        </w:rPr>
        <w:t>ACUERDO II/</w:t>
      </w:r>
      <w:r w:rsidR="002B02C2" w:rsidRPr="00BA73A9">
        <w:rPr>
          <w:rFonts w:asciiTheme="majorHAnsi" w:eastAsia="Batang" w:hAnsiTheme="majorHAnsi" w:cstheme="majorHAnsi"/>
          <w:b/>
        </w:rPr>
        <w:t>10</w:t>
      </w:r>
      <w:r w:rsidRPr="00BA73A9">
        <w:rPr>
          <w:rFonts w:asciiTheme="majorHAnsi" w:eastAsia="Batang" w:hAnsiTheme="majorHAnsi" w:cstheme="majorHAnsi"/>
          <w:b/>
        </w:rPr>
        <w:t>/201</w:t>
      </w:r>
      <w:r w:rsidR="002B02C2" w:rsidRPr="00BA73A9">
        <w:rPr>
          <w:rFonts w:asciiTheme="majorHAnsi" w:eastAsia="Batang" w:hAnsiTheme="majorHAnsi" w:cstheme="majorHAnsi"/>
          <w:b/>
        </w:rPr>
        <w:t>9</w:t>
      </w:r>
      <w:r w:rsidRPr="00BA73A9">
        <w:rPr>
          <w:rFonts w:asciiTheme="majorHAnsi" w:eastAsia="Batang" w:hAnsiTheme="majorHAnsi" w:cstheme="majorHAnsi"/>
          <w:b/>
        </w:rPr>
        <w:t xml:space="preserve">. </w:t>
      </w:r>
      <w:r w:rsidR="002B02C2" w:rsidRPr="00BA73A9">
        <w:rPr>
          <w:rFonts w:asciiTheme="majorHAnsi" w:eastAsia="Batang" w:hAnsiTheme="majorHAnsi" w:cstheme="majorHAnsi"/>
          <w:b/>
        </w:rPr>
        <w:t xml:space="preserve">Cuenta de la Secretaria Ejecutiva con el acta de informe de dictamen técnico y apertura de propuestas económicas, relacionada con el procedimiento de Licitación Pública Nacional PJET/LPN/002-2019, relativa a la adquisición de material de papelería para todas las áreas del Poder Judicial del Estado, para el ejercicio 2019, en seguimiento al acuerdo II/02/2019.  </w:t>
      </w:r>
    </w:p>
    <w:p w:rsidR="00DC7A3E" w:rsidRPr="00BA73A9" w:rsidRDefault="00690101" w:rsidP="00BA73A9">
      <w:pPr>
        <w:spacing w:after="0" w:line="480" w:lineRule="auto"/>
        <w:jc w:val="both"/>
        <w:rPr>
          <w:rFonts w:asciiTheme="majorHAnsi" w:hAnsiTheme="majorHAnsi" w:cstheme="majorHAnsi"/>
          <w:i/>
        </w:rPr>
      </w:pPr>
      <w:r w:rsidRPr="00BA73A9">
        <w:rPr>
          <w:rFonts w:asciiTheme="majorHAnsi" w:eastAsia="Batang" w:hAnsiTheme="majorHAnsi" w:cstheme="majorHAnsi"/>
        </w:rPr>
        <w:t>Dada c</w:t>
      </w:r>
      <w:r w:rsidRPr="00BA73A9">
        <w:rPr>
          <w:rFonts w:asciiTheme="majorHAnsi" w:eastAsia="Batang" w:hAnsiTheme="majorHAnsi" w:cstheme="majorHAnsi"/>
          <w:i/>
        </w:rPr>
        <w:t>uenta por la Secretaria Ejecutiva con el acta de informe técnico y apertura de propuestas económicas, referente a la Licitación Pública PJET/LPN/00</w:t>
      </w:r>
      <w:r w:rsidR="00411802" w:rsidRPr="00BA73A9">
        <w:rPr>
          <w:rFonts w:asciiTheme="majorHAnsi" w:eastAsia="Batang" w:hAnsiTheme="majorHAnsi" w:cstheme="majorHAnsi"/>
          <w:i/>
        </w:rPr>
        <w:t>2</w:t>
      </w:r>
      <w:r w:rsidRPr="00BA73A9">
        <w:rPr>
          <w:rFonts w:asciiTheme="majorHAnsi" w:eastAsia="Batang" w:hAnsiTheme="majorHAnsi" w:cstheme="majorHAnsi"/>
          <w:i/>
        </w:rPr>
        <w:t>-</w:t>
      </w:r>
      <w:r w:rsidRPr="00BA73A9">
        <w:rPr>
          <w:rFonts w:asciiTheme="majorHAnsi" w:eastAsia="Batang" w:hAnsiTheme="majorHAnsi" w:cstheme="majorHAnsi"/>
        </w:rPr>
        <w:t xml:space="preserve">2019, </w:t>
      </w:r>
      <w:r w:rsidR="002B02C2" w:rsidRPr="00BA73A9">
        <w:rPr>
          <w:rFonts w:asciiTheme="majorHAnsi" w:eastAsia="Batang" w:hAnsiTheme="majorHAnsi" w:cstheme="majorHAnsi"/>
          <w:i/>
        </w:rPr>
        <w:t xml:space="preserve">relativa a la adquisición de material de papelería para todas las áreas del Poder Judicial del Estado, para el ejercicio 2019, en seguimiento al acuerdo II/02/2019, </w:t>
      </w:r>
      <w:r w:rsidRPr="00BA73A9">
        <w:rPr>
          <w:rFonts w:asciiTheme="majorHAnsi" w:eastAsia="Batang" w:hAnsiTheme="majorHAnsi" w:cstheme="majorHAnsi"/>
          <w:i/>
        </w:rPr>
        <w:t xml:space="preserve">haciendo mención que fueron cuatro participantes quienes adquirieron las bases: </w:t>
      </w:r>
      <w:r w:rsidR="00411802" w:rsidRPr="00BA73A9">
        <w:rPr>
          <w:rFonts w:asciiTheme="majorHAnsi" w:eastAsia="Batang" w:hAnsiTheme="majorHAnsi" w:cstheme="majorHAnsi"/>
          <w:i/>
        </w:rPr>
        <w:t>1.- Innovation In Solutions And Services Group S.A. De C.V., 2.- INNINGS, S.A. DE C.V., 3.- Comercializadora Cursan, S.A. De C.V. y 4.- Mario Bota Bavilonia, de los cuales</w:t>
      </w:r>
      <w:r w:rsidR="002B02C2" w:rsidRPr="00BA73A9">
        <w:rPr>
          <w:rFonts w:asciiTheme="majorHAnsi" w:eastAsia="Batang" w:hAnsiTheme="majorHAnsi" w:cstheme="majorHAnsi"/>
          <w:i/>
        </w:rPr>
        <w:t>,</w:t>
      </w:r>
      <w:r w:rsidR="00411802" w:rsidRPr="00BA73A9">
        <w:rPr>
          <w:rFonts w:asciiTheme="majorHAnsi" w:eastAsia="Batang" w:hAnsiTheme="majorHAnsi" w:cstheme="majorHAnsi"/>
          <w:i/>
        </w:rPr>
        <w:t xml:space="preserve"> Mario Bota Bavilonia, no se presentó al evento </w:t>
      </w:r>
      <w:r w:rsidRPr="00BA73A9">
        <w:rPr>
          <w:rFonts w:asciiTheme="majorHAnsi" w:eastAsia="Batang" w:hAnsiTheme="majorHAnsi" w:cstheme="majorHAnsi"/>
          <w:i/>
        </w:rPr>
        <w:t xml:space="preserve">de presentación y apertura de propuestas técnicas y por lo </w:t>
      </w:r>
      <w:r w:rsidRPr="00BA73A9">
        <w:rPr>
          <w:rFonts w:asciiTheme="majorHAnsi" w:eastAsia="Batang" w:hAnsiTheme="majorHAnsi" w:cstheme="majorHAnsi"/>
          <w:i/>
        </w:rPr>
        <w:lastRenderedPageBreak/>
        <w:t>tanto quedó descalificado de la presente licitación</w:t>
      </w:r>
      <w:r w:rsidR="00817497" w:rsidRPr="00BA73A9">
        <w:rPr>
          <w:rFonts w:asciiTheme="majorHAnsi" w:eastAsia="Batang" w:hAnsiTheme="majorHAnsi" w:cstheme="majorHAnsi"/>
          <w:i/>
        </w:rPr>
        <w:t>, en cumplimiento a lo que establece el artículo 31 de la Ley de Adquisiciones,  Arrendamientos y Servicios del Estado de Tlaxcala y en atención al numeral 9.2 de las bases</w:t>
      </w:r>
      <w:r w:rsidRPr="00BA73A9">
        <w:rPr>
          <w:rFonts w:asciiTheme="majorHAnsi" w:eastAsia="Batang" w:hAnsiTheme="majorHAnsi" w:cstheme="majorHAnsi"/>
          <w:i/>
        </w:rPr>
        <w:t>;</w:t>
      </w:r>
      <w:r w:rsidR="00817497" w:rsidRPr="00BA73A9">
        <w:rPr>
          <w:rFonts w:asciiTheme="majorHAnsi" w:eastAsia="Batang" w:hAnsiTheme="majorHAnsi" w:cstheme="majorHAnsi"/>
          <w:i/>
        </w:rPr>
        <w:t xml:space="preserve"> en consecuencia, </w:t>
      </w:r>
      <w:r w:rsidRPr="00BA73A9">
        <w:rPr>
          <w:rFonts w:asciiTheme="majorHAnsi" w:eastAsia="Batang" w:hAnsiTheme="majorHAnsi" w:cstheme="majorHAnsi"/>
          <w:i/>
        </w:rPr>
        <w:t xml:space="preserve"> la convocante en el act</w:t>
      </w:r>
      <w:r w:rsidRPr="00BA73A9">
        <w:rPr>
          <w:rFonts w:asciiTheme="majorHAnsi" w:hAnsiTheme="majorHAnsi" w:cstheme="majorHAnsi"/>
          <w:i/>
        </w:rPr>
        <w:t xml:space="preserve">o de informe de dictamen técnico y apertura de propuestas económicas, llevó a cabo la apertura de las propuestas económicas presentada por los licitantes participantes que no fueron descalificados en las etapas anteriores de la presente licitación para el análisis cuantitativo y demás que resultaran procedentes; </w:t>
      </w:r>
      <w:r w:rsidR="00DC7A3E" w:rsidRPr="00BA73A9">
        <w:rPr>
          <w:rFonts w:asciiTheme="majorHAnsi" w:hAnsiTheme="majorHAnsi" w:cstheme="majorHAnsi"/>
          <w:i/>
        </w:rPr>
        <w:t>siendo: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DC7A3E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3E" w:rsidRPr="00BA73A9" w:rsidRDefault="00DC7A3E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</w:p>
          <w:p w:rsidR="00DC7A3E" w:rsidRPr="00BA73A9" w:rsidRDefault="00DC7A3E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>LICITANTE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3E" w:rsidRPr="00BA73A9" w:rsidRDefault="00DC7A3E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 xml:space="preserve">IMPORTE ANUAL </w:t>
            </w:r>
          </w:p>
          <w:p w:rsidR="00DC7A3E" w:rsidRPr="00BA73A9" w:rsidRDefault="00DC7A3E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>(CON I.V.A.)</w:t>
            </w:r>
          </w:p>
        </w:tc>
      </w:tr>
      <w:tr w:rsidR="00DC7A3E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3E" w:rsidRPr="00BA73A9" w:rsidRDefault="00DC7A3E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COMERCIALIZADORA CURSAN, S.A. DE C.V.</w:t>
            </w:r>
          </w:p>
          <w:p w:rsidR="00DC7A3E" w:rsidRPr="00BA73A9" w:rsidRDefault="00DC7A3E" w:rsidP="00D71A60">
            <w:pPr>
              <w:spacing w:line="360" w:lineRule="auto"/>
              <w:rPr>
                <w:rFonts w:asciiTheme="majorHAnsi" w:eastAsia="Yu Gothic UI" w:hAnsiTheme="majorHAnsi" w:cstheme="maj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3E" w:rsidRPr="00BA73A9" w:rsidRDefault="00DC7A3E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$2,357,250.78</w:t>
            </w:r>
          </w:p>
          <w:p w:rsidR="00DC7A3E" w:rsidRPr="00BA73A9" w:rsidRDefault="00DC7A3E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(Dos millones trescientos cincuenta y siete mil doscientos cincuenta pesos 78/100 M.N.)</w:t>
            </w:r>
          </w:p>
        </w:tc>
      </w:tr>
      <w:tr w:rsidR="00DC7A3E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BA73A9" w:rsidRDefault="00DC7A3E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 xml:space="preserve">INNINGS, S.A. DE C.V.  </w:t>
            </w:r>
          </w:p>
          <w:p w:rsidR="00DC7A3E" w:rsidRPr="00BA73A9" w:rsidRDefault="00DC7A3E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BA73A9" w:rsidRDefault="00DC7A3E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$3,185,038.18</w:t>
            </w:r>
          </w:p>
          <w:p w:rsidR="00DC7A3E" w:rsidRPr="00BA73A9" w:rsidRDefault="00DC7A3E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(Tres millones ciento ochenta y cinco mil treinta y ocho pesos 18/100 M.N.)</w:t>
            </w:r>
          </w:p>
        </w:tc>
      </w:tr>
      <w:tr w:rsidR="00DC7A3E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BA73A9" w:rsidRDefault="00DC7A3E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INNOVATION IN SOLUTIONS AND SERVICES GROUP, S.A. DE C.V.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BA73A9" w:rsidRDefault="00DC7A3E" w:rsidP="00D71A60">
            <w:pPr>
              <w:tabs>
                <w:tab w:val="left" w:pos="6840"/>
              </w:tabs>
              <w:spacing w:line="360" w:lineRule="auto"/>
              <w:jc w:val="both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$1,867,550.15</w:t>
            </w:r>
          </w:p>
          <w:p w:rsidR="00DC7A3E" w:rsidRPr="00BA73A9" w:rsidRDefault="00DC7A3E" w:rsidP="00D71A60">
            <w:pPr>
              <w:tabs>
                <w:tab w:val="left" w:pos="6840"/>
              </w:tabs>
              <w:spacing w:line="360" w:lineRule="auto"/>
              <w:jc w:val="both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(Un millón ochocientos sesenta y siete mil quinientos cincuenta pesos 15/100 M.N.)</w:t>
            </w:r>
          </w:p>
        </w:tc>
      </w:tr>
    </w:tbl>
    <w:p w:rsidR="002B02C2" w:rsidRPr="00BA73A9" w:rsidRDefault="002B02C2" w:rsidP="00BA73A9">
      <w:pPr>
        <w:spacing w:after="0" w:line="480" w:lineRule="auto"/>
        <w:jc w:val="both"/>
        <w:rPr>
          <w:rFonts w:asciiTheme="majorHAnsi" w:hAnsiTheme="majorHAnsi" w:cstheme="majorHAnsi"/>
          <w:i/>
        </w:rPr>
      </w:pPr>
    </w:p>
    <w:p w:rsidR="009B40A2" w:rsidRPr="00BA73A9" w:rsidRDefault="00817497" w:rsidP="00BA73A9">
      <w:pPr>
        <w:spacing w:after="0" w:line="480" w:lineRule="auto"/>
        <w:jc w:val="both"/>
        <w:rPr>
          <w:rFonts w:asciiTheme="majorHAnsi" w:eastAsia="Batang" w:hAnsiTheme="majorHAnsi" w:cstheme="majorHAnsi"/>
          <w:i/>
        </w:rPr>
      </w:pPr>
      <w:r w:rsidRPr="00BA73A9">
        <w:rPr>
          <w:rFonts w:asciiTheme="majorHAnsi" w:hAnsiTheme="majorHAnsi" w:cstheme="majorHAnsi"/>
          <w:i/>
        </w:rPr>
        <w:t>De lo anterior,</w:t>
      </w:r>
      <w:r w:rsidR="00690101" w:rsidRPr="00BA73A9">
        <w:rPr>
          <w:rFonts w:asciiTheme="majorHAnsi" w:hAnsiTheme="majorHAnsi" w:cstheme="majorHAnsi"/>
          <w:i/>
        </w:rPr>
        <w:t xml:space="preserve"> se advirti</w:t>
      </w:r>
      <w:r w:rsidRPr="00BA73A9">
        <w:rPr>
          <w:rFonts w:asciiTheme="majorHAnsi" w:hAnsiTheme="majorHAnsi" w:cstheme="majorHAnsi"/>
          <w:i/>
        </w:rPr>
        <w:t>e</w:t>
      </w:r>
      <w:r w:rsidR="00690101" w:rsidRPr="00BA73A9">
        <w:rPr>
          <w:rFonts w:asciiTheme="majorHAnsi" w:hAnsiTheme="majorHAnsi" w:cstheme="majorHAnsi"/>
          <w:i/>
        </w:rPr>
        <w:t xml:space="preserve"> que la</w:t>
      </w:r>
      <w:r w:rsidR="00DC7A3E" w:rsidRPr="00BA73A9">
        <w:rPr>
          <w:rFonts w:asciiTheme="majorHAnsi" w:hAnsiTheme="majorHAnsi" w:cstheme="majorHAnsi"/>
          <w:i/>
        </w:rPr>
        <w:t>s</w:t>
      </w:r>
      <w:r w:rsidR="00690101" w:rsidRPr="00BA73A9">
        <w:rPr>
          <w:rFonts w:asciiTheme="majorHAnsi" w:hAnsiTheme="majorHAnsi" w:cstheme="majorHAnsi"/>
          <w:i/>
        </w:rPr>
        <w:t xml:space="preserve"> oferta</w:t>
      </w:r>
      <w:r w:rsidR="00DC7A3E" w:rsidRPr="00BA73A9">
        <w:rPr>
          <w:rFonts w:asciiTheme="majorHAnsi" w:hAnsiTheme="majorHAnsi" w:cstheme="majorHAnsi"/>
          <w:i/>
        </w:rPr>
        <w:t>s</w:t>
      </w:r>
      <w:r w:rsidR="00690101" w:rsidRPr="00BA73A9">
        <w:rPr>
          <w:rFonts w:asciiTheme="majorHAnsi" w:hAnsiTheme="majorHAnsi" w:cstheme="majorHAnsi"/>
          <w:i/>
        </w:rPr>
        <w:t xml:space="preserve"> presenta</w:t>
      </w:r>
      <w:r w:rsidR="00DC7A3E" w:rsidRPr="00BA73A9">
        <w:rPr>
          <w:rFonts w:asciiTheme="majorHAnsi" w:hAnsiTheme="majorHAnsi" w:cstheme="majorHAnsi"/>
          <w:i/>
        </w:rPr>
        <w:t>das</w:t>
      </w:r>
      <w:r w:rsidR="00690101" w:rsidRPr="00BA73A9">
        <w:rPr>
          <w:rFonts w:asciiTheme="majorHAnsi" w:hAnsiTheme="majorHAnsi" w:cstheme="majorHAnsi"/>
          <w:i/>
        </w:rPr>
        <w:t xml:space="preserve"> </w:t>
      </w:r>
      <w:r w:rsidR="00DC7A3E" w:rsidRPr="00BA73A9">
        <w:rPr>
          <w:rFonts w:asciiTheme="majorHAnsi" w:hAnsiTheme="majorHAnsi" w:cstheme="majorHAnsi"/>
          <w:i/>
        </w:rPr>
        <w:t>por estas</w:t>
      </w:r>
      <w:r w:rsidR="00690101" w:rsidRPr="00BA73A9">
        <w:rPr>
          <w:rFonts w:asciiTheme="majorHAnsi" w:hAnsiTheme="majorHAnsi" w:cstheme="majorHAnsi"/>
          <w:i/>
        </w:rPr>
        <w:t xml:space="preserve"> empresa</w:t>
      </w:r>
      <w:r w:rsidR="00DC7A3E" w:rsidRPr="00BA73A9">
        <w:rPr>
          <w:rFonts w:asciiTheme="majorHAnsi" w:hAnsiTheme="majorHAnsi" w:cstheme="majorHAnsi"/>
          <w:i/>
        </w:rPr>
        <w:t>s</w:t>
      </w:r>
      <w:r w:rsidR="00690101" w:rsidRPr="00BA73A9">
        <w:rPr>
          <w:rFonts w:asciiTheme="majorHAnsi" w:hAnsiTheme="majorHAnsi" w:cstheme="majorHAnsi"/>
          <w:i/>
        </w:rPr>
        <w:t xml:space="preserve"> rebasa</w:t>
      </w:r>
      <w:r w:rsidR="00DC7A3E" w:rsidRPr="00BA73A9">
        <w:rPr>
          <w:rFonts w:asciiTheme="majorHAnsi" w:hAnsiTheme="majorHAnsi" w:cstheme="majorHAnsi"/>
          <w:i/>
        </w:rPr>
        <w:t>n</w:t>
      </w:r>
      <w:r w:rsidR="00690101" w:rsidRPr="00BA73A9">
        <w:rPr>
          <w:rFonts w:asciiTheme="majorHAnsi" w:hAnsiTheme="majorHAnsi" w:cstheme="majorHAnsi"/>
          <w:i/>
        </w:rPr>
        <w:t xml:space="preserve"> el presupuesto que se tiene asignado para tal adquisición, </w:t>
      </w:r>
      <w:r w:rsidRPr="00BA73A9">
        <w:rPr>
          <w:rFonts w:asciiTheme="majorHAnsi" w:hAnsiTheme="majorHAnsi" w:cstheme="majorHAnsi"/>
          <w:i/>
        </w:rPr>
        <w:t xml:space="preserve">por tanto, en términos de las bases </w:t>
      </w:r>
      <w:r w:rsidR="00690101" w:rsidRPr="00BA73A9">
        <w:rPr>
          <w:rFonts w:asciiTheme="majorHAnsi" w:hAnsiTheme="majorHAnsi" w:cstheme="majorHAnsi"/>
          <w:i/>
        </w:rPr>
        <w:t>“16. DECLARACIÓN DE PARTIDA DESIERTA O CANCELADA” y “16.2. Si después de efectuada la evaluación, no fuese posible adjudicar el pedido/contrato objeto de la presente licitación con</w:t>
      </w:r>
      <w:r w:rsidR="00690101" w:rsidRPr="00BA73A9">
        <w:rPr>
          <w:rFonts w:asciiTheme="majorHAnsi" w:eastAsia="Batang" w:hAnsiTheme="majorHAnsi" w:cstheme="majorHAnsi"/>
          <w:i/>
        </w:rPr>
        <w:t xml:space="preserve"> ningún licitante, porque sus precios rebasen el presupuesto autorizado”, </w:t>
      </w:r>
      <w:r w:rsidRPr="00BA73A9">
        <w:rPr>
          <w:rFonts w:asciiTheme="majorHAnsi" w:eastAsia="Batang" w:hAnsiTheme="majorHAnsi" w:cstheme="majorHAnsi"/>
          <w:i/>
        </w:rPr>
        <w:t xml:space="preserve">este cuerpo colegiado determina </w:t>
      </w:r>
      <w:r w:rsidR="00690101" w:rsidRPr="00BA73A9">
        <w:rPr>
          <w:rFonts w:asciiTheme="majorHAnsi" w:eastAsia="Batang" w:hAnsiTheme="majorHAnsi" w:cstheme="majorHAnsi"/>
          <w:i/>
        </w:rPr>
        <w:t>declara</w:t>
      </w:r>
      <w:r w:rsidRPr="00BA73A9">
        <w:rPr>
          <w:rFonts w:asciiTheme="majorHAnsi" w:eastAsia="Batang" w:hAnsiTheme="majorHAnsi" w:cstheme="majorHAnsi"/>
          <w:i/>
        </w:rPr>
        <w:t>r</w:t>
      </w:r>
      <w:r w:rsidR="00690101" w:rsidRPr="00BA73A9">
        <w:rPr>
          <w:rFonts w:asciiTheme="majorHAnsi" w:eastAsia="Batang" w:hAnsiTheme="majorHAnsi" w:cstheme="majorHAnsi"/>
          <w:i/>
        </w:rPr>
        <w:t xml:space="preserve"> DESIERTA la licitación pública nacional PJET/LPN/00</w:t>
      </w:r>
      <w:r w:rsidRPr="00BA73A9">
        <w:rPr>
          <w:rFonts w:asciiTheme="majorHAnsi" w:eastAsia="Batang" w:hAnsiTheme="majorHAnsi" w:cstheme="majorHAnsi"/>
          <w:i/>
        </w:rPr>
        <w:t>2</w:t>
      </w:r>
      <w:r w:rsidR="00690101" w:rsidRPr="00BA73A9">
        <w:rPr>
          <w:rFonts w:asciiTheme="majorHAnsi" w:eastAsia="Batang" w:hAnsiTheme="majorHAnsi" w:cstheme="majorHAnsi"/>
          <w:i/>
        </w:rPr>
        <w:t>-201</w:t>
      </w:r>
      <w:r w:rsidRPr="00BA73A9">
        <w:rPr>
          <w:rFonts w:asciiTheme="majorHAnsi" w:eastAsia="Batang" w:hAnsiTheme="majorHAnsi" w:cstheme="majorHAnsi"/>
          <w:i/>
        </w:rPr>
        <w:t>9, e instruir a la Subdirectora de Recursos Humanos y materiales de la Secretaría ejecutiva, realizar un segundo procedimiento de Licitac</w:t>
      </w:r>
      <w:r w:rsidR="009B40A2" w:rsidRPr="00BA73A9">
        <w:rPr>
          <w:rFonts w:asciiTheme="majorHAnsi" w:eastAsia="Batang" w:hAnsiTheme="majorHAnsi" w:cstheme="majorHAnsi"/>
          <w:i/>
        </w:rPr>
        <w:t>ión.</w:t>
      </w:r>
    </w:p>
    <w:p w:rsidR="009B40A2" w:rsidRPr="00BA73A9" w:rsidRDefault="009B40A2" w:rsidP="00BA73A9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  <w:i/>
        </w:rPr>
        <w:t xml:space="preserve">Asimismo, la Secretaria Ejecutiva da cuenta en este acto, con la propuesta de convocatoria y calendario de eventos de la Licitación Pública Nacional PJET/LPN/005-2019, relativa a la adquisición de material de papelería para todas las áreas del Poder Judicial del Estado, para el ejercicio 2019, dada cuenta, y tomando en consideración el estudio referido,  con fundamento en lo que establecen los artículos 61 y 69 de la Ley Orgánica del Poder Judicial del Estado, 9 fracciones XV y XVII del Reglamento del Consejo de la Judicatura del Estado, 21, 22 fracción I, 24 y 25 de la Ley de Adquisiciones, Arrendamientos y Servicios del Estado de Tlaxcala, se aprueba la convocatoria y calendario de cuenta para llevar a cabo la Licitación Pública Nacional PJET/LPN/005-2019, </w:t>
      </w:r>
      <w:r w:rsidRPr="00BA73A9">
        <w:rPr>
          <w:rFonts w:asciiTheme="majorHAnsi" w:eastAsia="Batang" w:hAnsiTheme="majorHAnsi" w:cstheme="majorHAnsi"/>
          <w:i/>
        </w:rPr>
        <w:lastRenderedPageBreak/>
        <w:t>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correspondientes.</w:t>
      </w:r>
      <w:r w:rsidRPr="00BA73A9">
        <w:rPr>
          <w:rFonts w:asciiTheme="majorHAnsi" w:eastAsia="Batang" w:hAnsiTheme="majorHAnsi" w:cstheme="majorHAnsi"/>
        </w:rPr>
        <w:t xml:space="preserve"> </w:t>
      </w:r>
      <w:bookmarkEnd w:id="0"/>
      <w:r w:rsidRPr="00BA73A9">
        <w:rPr>
          <w:rFonts w:asciiTheme="majorHAnsi" w:eastAsia="Batang" w:hAnsiTheme="majorHAnsi" w:cstheme="majorHAnsi"/>
          <w:u w:val="single"/>
        </w:rPr>
        <w:t>APROBADO POR</w:t>
      </w:r>
      <w:r w:rsidR="00F80B4B">
        <w:rPr>
          <w:rFonts w:asciiTheme="majorHAnsi" w:eastAsia="Batang" w:hAnsiTheme="majorHAnsi" w:cstheme="majorHAnsi"/>
          <w:u w:val="single"/>
        </w:rPr>
        <w:t xml:space="preserve"> UNANIMIDAD </w:t>
      </w:r>
      <w:r w:rsidRPr="00BA73A9">
        <w:rPr>
          <w:rFonts w:asciiTheme="majorHAnsi" w:eastAsia="Batang" w:hAnsiTheme="majorHAnsi" w:cstheme="majorHAnsi"/>
          <w:u w:val="single"/>
        </w:rPr>
        <w:t>DE VOTOS</w:t>
      </w:r>
      <w:r w:rsidRPr="00BA73A9">
        <w:rPr>
          <w:rFonts w:asciiTheme="majorHAnsi" w:eastAsia="Batang" w:hAnsiTheme="majorHAnsi" w:cstheme="majorHAnsi"/>
        </w:rPr>
        <w:t xml:space="preserve">. - - - - </w:t>
      </w:r>
      <w:r w:rsidR="00F80B4B">
        <w:rPr>
          <w:rFonts w:asciiTheme="majorHAnsi" w:eastAsia="Batang" w:hAnsiTheme="majorHAnsi" w:cstheme="majorHAnsi"/>
        </w:rPr>
        <w:t>- - - - - - - - - -  - - - - - - - - - - - - - - - - - - - - - - - - - - - -</w:t>
      </w:r>
    </w:p>
    <w:p w:rsidR="005A556B" w:rsidRPr="00BA73A9" w:rsidRDefault="005A556B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bookmarkStart w:id="1" w:name="_Hlk532803944"/>
      <w:bookmarkStart w:id="2" w:name="_Hlk1392947"/>
      <w:r w:rsidRPr="00F80B4B">
        <w:rPr>
          <w:rFonts w:asciiTheme="majorHAnsi" w:eastAsia="Batang" w:hAnsiTheme="majorHAnsi" w:cstheme="majorHAnsi"/>
          <w:b/>
        </w:rPr>
        <w:t>A</w:t>
      </w:r>
      <w:r w:rsidR="00724C2B" w:rsidRPr="00F80B4B">
        <w:rPr>
          <w:rFonts w:asciiTheme="majorHAnsi" w:eastAsia="Batang" w:hAnsiTheme="majorHAnsi" w:cstheme="majorHAnsi"/>
          <w:b/>
        </w:rPr>
        <w:t>CUERDO II</w:t>
      </w:r>
      <w:r w:rsidRPr="00F80B4B">
        <w:rPr>
          <w:rFonts w:asciiTheme="majorHAnsi" w:eastAsia="Batang" w:hAnsiTheme="majorHAnsi" w:cstheme="majorHAnsi"/>
          <w:b/>
        </w:rPr>
        <w:t>I</w:t>
      </w:r>
      <w:r w:rsidR="00724C2B" w:rsidRPr="00F80B4B">
        <w:rPr>
          <w:rFonts w:asciiTheme="majorHAnsi" w:eastAsia="Batang" w:hAnsiTheme="majorHAnsi" w:cstheme="majorHAnsi"/>
          <w:b/>
        </w:rPr>
        <w:t>/</w:t>
      </w:r>
      <w:r w:rsidRPr="00F80B4B">
        <w:rPr>
          <w:rFonts w:asciiTheme="majorHAnsi" w:eastAsia="Batang" w:hAnsiTheme="majorHAnsi" w:cstheme="majorHAnsi"/>
          <w:b/>
        </w:rPr>
        <w:t>10/</w:t>
      </w:r>
      <w:r w:rsidR="00724C2B" w:rsidRPr="00F80B4B">
        <w:rPr>
          <w:rFonts w:asciiTheme="majorHAnsi" w:eastAsia="Batang" w:hAnsiTheme="majorHAnsi" w:cstheme="majorHAnsi"/>
          <w:b/>
        </w:rPr>
        <w:t>201</w:t>
      </w:r>
      <w:r w:rsidRPr="00F80B4B">
        <w:rPr>
          <w:rFonts w:asciiTheme="majorHAnsi" w:eastAsia="Batang" w:hAnsiTheme="majorHAnsi" w:cstheme="majorHAnsi"/>
          <w:b/>
        </w:rPr>
        <w:t>9</w:t>
      </w:r>
      <w:r w:rsidR="00724C2B" w:rsidRPr="00BA73A9">
        <w:rPr>
          <w:rFonts w:asciiTheme="majorHAnsi" w:eastAsia="Batang" w:hAnsiTheme="majorHAnsi" w:cstheme="majorHAnsi"/>
          <w:b/>
        </w:rPr>
        <w:t xml:space="preserve">. </w:t>
      </w:r>
      <w:r w:rsidRPr="00BA73A9">
        <w:rPr>
          <w:rFonts w:asciiTheme="majorHAnsi" w:eastAsia="Batang" w:hAnsiTheme="majorHAnsi" w:cstheme="majorHAnsi"/>
          <w:b/>
        </w:rPr>
        <w:t xml:space="preserve"> </w:t>
      </w:r>
      <w:r w:rsidR="00724C2B" w:rsidRPr="00BA73A9">
        <w:rPr>
          <w:rFonts w:asciiTheme="majorHAnsi" w:eastAsia="Batang" w:hAnsiTheme="majorHAnsi" w:cstheme="majorHAnsi"/>
          <w:b/>
        </w:rPr>
        <w:t xml:space="preserve"> </w:t>
      </w:r>
      <w:r w:rsidRPr="00BA73A9">
        <w:rPr>
          <w:rFonts w:asciiTheme="majorHAnsi" w:eastAsia="Batang" w:hAnsiTheme="majorHAnsi" w:cstheme="majorHAnsi"/>
          <w:b/>
        </w:rPr>
        <w:t>Cuenta de la Secretaria Ejecutiva con el acta de informe de dictamen técnico y apertura de propuestas económicas, relacionada con el procedimiento de Licitación Pública Nacional PJET/LPN/003-2019, relativa a la adquisición de material de limpieza para las áreas del Poder Judicial del Estado, para el ejercicio 2019, en seguimiento al acuerdo III/02/2019. - - - - -</w:t>
      </w:r>
    </w:p>
    <w:p w:rsidR="00690101" w:rsidRPr="00BA73A9" w:rsidRDefault="00724C2B" w:rsidP="00BA73A9">
      <w:pPr>
        <w:tabs>
          <w:tab w:val="left" w:pos="6840"/>
        </w:tabs>
        <w:spacing w:line="480" w:lineRule="auto"/>
        <w:jc w:val="both"/>
        <w:rPr>
          <w:rFonts w:asciiTheme="majorHAnsi" w:hAnsiTheme="majorHAnsi" w:cstheme="majorHAnsi"/>
          <w:i/>
        </w:rPr>
      </w:pPr>
      <w:r w:rsidRPr="00BA73A9">
        <w:rPr>
          <w:rFonts w:asciiTheme="majorHAnsi" w:eastAsia="Batang" w:hAnsiTheme="majorHAnsi" w:cstheme="majorHAnsi"/>
        </w:rPr>
        <w:t>Dada c</w:t>
      </w:r>
      <w:r w:rsidRPr="00BA73A9">
        <w:rPr>
          <w:rFonts w:asciiTheme="majorHAnsi" w:eastAsia="Batang" w:hAnsiTheme="majorHAnsi" w:cstheme="majorHAnsi"/>
          <w:i/>
        </w:rPr>
        <w:t>uenta por la Secretaria Ejecutiva con el acta de informe técnico y apertura de propuestas económicas, referente a la Licitación Pública PJET/LPN/003-</w:t>
      </w:r>
      <w:r w:rsidRPr="00BA73A9">
        <w:rPr>
          <w:rFonts w:asciiTheme="majorHAnsi" w:eastAsia="Batang" w:hAnsiTheme="majorHAnsi" w:cstheme="majorHAnsi"/>
        </w:rPr>
        <w:t>2019</w:t>
      </w:r>
      <w:r w:rsidRPr="00BA73A9">
        <w:rPr>
          <w:rFonts w:asciiTheme="majorHAnsi" w:eastAsia="Batang" w:hAnsiTheme="majorHAnsi" w:cstheme="majorHAnsi"/>
          <w:i/>
        </w:rPr>
        <w:t>,</w:t>
      </w:r>
      <w:r w:rsidR="005A556B" w:rsidRPr="00BA73A9">
        <w:rPr>
          <w:rFonts w:asciiTheme="majorHAnsi" w:eastAsia="Batang" w:hAnsiTheme="majorHAnsi" w:cstheme="majorHAnsi"/>
          <w:b/>
        </w:rPr>
        <w:t xml:space="preserve"> </w:t>
      </w:r>
      <w:r w:rsidR="005A556B" w:rsidRPr="00BA73A9">
        <w:rPr>
          <w:rFonts w:asciiTheme="majorHAnsi" w:eastAsia="Batang" w:hAnsiTheme="majorHAnsi" w:cstheme="majorHAnsi"/>
          <w:i/>
        </w:rPr>
        <w:t>relativa a la adquisición de material de limpieza para las áreas del Poder Judicial del Estado, para el ejercicio 2019, en seguimiento al acuerdo III/02/2019,</w:t>
      </w:r>
      <w:r w:rsidRPr="00BA73A9">
        <w:rPr>
          <w:rFonts w:asciiTheme="majorHAnsi" w:eastAsia="Batang" w:hAnsiTheme="majorHAnsi" w:cstheme="majorHAnsi"/>
          <w:i/>
        </w:rPr>
        <w:t xml:space="preserve"> haciendo mención que fueron cuatro participantes quienes adquirieron las bases: 1.- INNINGS, S.A. DE C.V., 2.- José Manuel Arzoz Castelazo, 3.- Comercializadora Cursan, S.A. De C.V. y 4.- Comercializadora FET, S.A. de C.V. ;  de los cuales José Manuel Arzoz Castelazo, no se presentó al evento de presentación y apertura de propuestas técnicas y por lo tanto quedó descalificado de la presente licitación, de igual forma Comercializadora FET, S.A. de C.V.</w:t>
      </w:r>
      <w:r w:rsidR="00F80B4B">
        <w:rPr>
          <w:rFonts w:asciiTheme="majorHAnsi" w:eastAsia="Batang" w:hAnsiTheme="majorHAnsi" w:cstheme="majorHAnsi"/>
          <w:i/>
        </w:rPr>
        <w:t>,</w:t>
      </w:r>
      <w:r w:rsidRPr="00BA73A9">
        <w:rPr>
          <w:rFonts w:asciiTheme="majorHAnsi" w:eastAsia="Batang" w:hAnsiTheme="majorHAnsi" w:cstheme="majorHAnsi"/>
          <w:i/>
        </w:rPr>
        <w:t xml:space="preserve"> también se descalificó ya que no presentó todos los documentos requeridos</w:t>
      </w:r>
      <w:r w:rsidR="00F80B4B">
        <w:rPr>
          <w:rFonts w:asciiTheme="majorHAnsi" w:eastAsia="Batang" w:hAnsiTheme="majorHAnsi" w:cstheme="majorHAnsi"/>
          <w:i/>
        </w:rPr>
        <w:t>,</w:t>
      </w:r>
      <w:r w:rsidR="00690101" w:rsidRPr="00BA73A9">
        <w:rPr>
          <w:rFonts w:asciiTheme="majorHAnsi" w:eastAsia="Batang" w:hAnsiTheme="majorHAnsi" w:cstheme="majorHAnsi"/>
          <w:i/>
        </w:rPr>
        <w:t xml:space="preserve"> </w:t>
      </w:r>
      <w:r w:rsidR="005A556B" w:rsidRPr="00BA73A9">
        <w:rPr>
          <w:rFonts w:asciiTheme="majorHAnsi" w:eastAsia="Batang" w:hAnsiTheme="majorHAnsi" w:cstheme="majorHAnsi"/>
          <w:i/>
        </w:rPr>
        <w:t>en cumplimiento a lo que establece el artículo 32 de la Ley de Adquisiciones,  Arrendamientos y Servicios del Estado de Tlaxcala, así como  al numeral 14.2, 14.17, 14.19 y 14.20, de las bases; en consecuencia, la convocante</w:t>
      </w:r>
      <w:r w:rsidRPr="00BA73A9">
        <w:rPr>
          <w:rFonts w:asciiTheme="majorHAnsi" w:hAnsiTheme="majorHAnsi" w:cstheme="majorHAnsi"/>
          <w:i/>
        </w:rPr>
        <w:t xml:space="preserve"> llevó a cabo la apertura de las propuestas económicas presentada por </w:t>
      </w:r>
      <w:r w:rsidR="00690101" w:rsidRPr="00BA73A9">
        <w:rPr>
          <w:rFonts w:asciiTheme="majorHAnsi" w:hAnsiTheme="majorHAnsi" w:cstheme="majorHAnsi"/>
          <w:i/>
        </w:rPr>
        <w:t>los</w:t>
      </w:r>
      <w:r w:rsidRPr="00BA73A9">
        <w:rPr>
          <w:rFonts w:asciiTheme="majorHAnsi" w:hAnsiTheme="majorHAnsi" w:cstheme="majorHAnsi"/>
          <w:i/>
        </w:rPr>
        <w:t xml:space="preserve"> licitante</w:t>
      </w:r>
      <w:r w:rsidR="00690101" w:rsidRPr="00BA73A9">
        <w:rPr>
          <w:rFonts w:asciiTheme="majorHAnsi" w:hAnsiTheme="majorHAnsi" w:cstheme="majorHAnsi"/>
          <w:i/>
        </w:rPr>
        <w:t xml:space="preserve">s </w:t>
      </w:r>
      <w:r w:rsidRPr="00BA73A9">
        <w:rPr>
          <w:rFonts w:asciiTheme="majorHAnsi" w:hAnsiTheme="majorHAnsi" w:cstheme="majorHAnsi"/>
          <w:i/>
        </w:rPr>
        <w:t>participante</w:t>
      </w:r>
      <w:r w:rsidR="00690101" w:rsidRPr="00BA73A9">
        <w:rPr>
          <w:rFonts w:asciiTheme="majorHAnsi" w:hAnsiTheme="majorHAnsi" w:cstheme="majorHAnsi"/>
          <w:i/>
        </w:rPr>
        <w:t>s</w:t>
      </w:r>
      <w:r w:rsidRPr="00BA73A9">
        <w:rPr>
          <w:rFonts w:asciiTheme="majorHAnsi" w:hAnsiTheme="majorHAnsi" w:cstheme="majorHAnsi"/>
          <w:i/>
        </w:rPr>
        <w:t xml:space="preserve"> que no fue</w:t>
      </w:r>
      <w:r w:rsidR="00690101" w:rsidRPr="00BA73A9">
        <w:rPr>
          <w:rFonts w:asciiTheme="majorHAnsi" w:hAnsiTheme="majorHAnsi" w:cstheme="majorHAnsi"/>
          <w:i/>
        </w:rPr>
        <w:t>ron</w:t>
      </w:r>
      <w:r w:rsidRPr="00BA73A9">
        <w:rPr>
          <w:rFonts w:asciiTheme="majorHAnsi" w:hAnsiTheme="majorHAnsi" w:cstheme="majorHAnsi"/>
          <w:i/>
        </w:rPr>
        <w:t xml:space="preserve"> descalificado</w:t>
      </w:r>
      <w:r w:rsidR="00690101" w:rsidRPr="00BA73A9">
        <w:rPr>
          <w:rFonts w:asciiTheme="majorHAnsi" w:hAnsiTheme="majorHAnsi" w:cstheme="majorHAnsi"/>
          <w:i/>
        </w:rPr>
        <w:t>s</w:t>
      </w:r>
      <w:r w:rsidRPr="00BA73A9">
        <w:rPr>
          <w:rFonts w:asciiTheme="majorHAnsi" w:hAnsiTheme="majorHAnsi" w:cstheme="majorHAnsi"/>
          <w:i/>
        </w:rPr>
        <w:t xml:space="preserve"> en las etapas anteriores de la presente licitación para el análisis cuantitativo y demás que resultaran procedentes</w:t>
      </w:r>
      <w:r w:rsidR="00690101" w:rsidRPr="00BA73A9">
        <w:rPr>
          <w:rFonts w:asciiTheme="majorHAnsi" w:hAnsiTheme="majorHAnsi" w:cstheme="majorHAnsi"/>
          <w:i/>
        </w:rPr>
        <w:t>, siendo:</w:t>
      </w:r>
    </w:p>
    <w:bookmarkEnd w:id="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690101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01" w:rsidRPr="00BA73A9" w:rsidRDefault="00690101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</w:p>
          <w:p w:rsidR="00690101" w:rsidRPr="00BA73A9" w:rsidRDefault="00690101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>LICITANTE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01" w:rsidRPr="00BA73A9" w:rsidRDefault="00690101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 xml:space="preserve">IMPORTE ANUAL </w:t>
            </w:r>
          </w:p>
          <w:p w:rsidR="00690101" w:rsidRPr="00BA73A9" w:rsidRDefault="00690101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>(CON I.V.A.)</w:t>
            </w:r>
          </w:p>
        </w:tc>
      </w:tr>
      <w:tr w:rsidR="00690101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01" w:rsidRPr="00BA73A9" w:rsidRDefault="00690101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COMERCIALIZADORA CURSAN, S.A. DE C.V.</w:t>
            </w:r>
          </w:p>
          <w:p w:rsidR="00690101" w:rsidRPr="00BA73A9" w:rsidRDefault="00690101" w:rsidP="00D71A60">
            <w:pPr>
              <w:spacing w:line="360" w:lineRule="auto"/>
              <w:rPr>
                <w:rFonts w:asciiTheme="majorHAnsi" w:eastAsia="Yu Gothic UI" w:hAnsiTheme="majorHAnsi" w:cstheme="maj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01" w:rsidRPr="00BA73A9" w:rsidRDefault="00690101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$350,076.65</w:t>
            </w:r>
          </w:p>
          <w:p w:rsidR="00690101" w:rsidRPr="00BA73A9" w:rsidRDefault="00690101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(Trescientos cincuenta mil setenta y seis pesos 65/100 M.N.)</w:t>
            </w:r>
          </w:p>
        </w:tc>
      </w:tr>
      <w:tr w:rsidR="00690101" w:rsidRPr="00BA73A9" w:rsidTr="00AD2E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01" w:rsidRPr="00BA73A9" w:rsidRDefault="00690101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 xml:space="preserve">INNINGS, S.A. DE C.V.  </w:t>
            </w:r>
          </w:p>
          <w:p w:rsidR="00690101" w:rsidRPr="00BA73A9" w:rsidRDefault="00690101" w:rsidP="00D71A60">
            <w:pPr>
              <w:tabs>
                <w:tab w:val="left" w:pos="7530"/>
              </w:tabs>
              <w:spacing w:line="360" w:lineRule="auto"/>
              <w:ind w:left="30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01" w:rsidRPr="00BA73A9" w:rsidRDefault="00690101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$415,891.55</w:t>
            </w:r>
          </w:p>
          <w:p w:rsidR="00690101" w:rsidRPr="00BA73A9" w:rsidRDefault="00690101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(Cuatrocientos quince mil ochocientos noventa y un pesos 55/100 M.N.)</w:t>
            </w:r>
          </w:p>
        </w:tc>
      </w:tr>
    </w:tbl>
    <w:p w:rsidR="00690101" w:rsidRPr="00BA73A9" w:rsidRDefault="00690101" w:rsidP="00BA73A9">
      <w:pPr>
        <w:tabs>
          <w:tab w:val="left" w:pos="6840"/>
        </w:tabs>
        <w:spacing w:line="480" w:lineRule="auto"/>
        <w:jc w:val="both"/>
        <w:rPr>
          <w:rFonts w:asciiTheme="majorHAnsi" w:hAnsiTheme="majorHAnsi" w:cstheme="majorHAnsi"/>
          <w:i/>
        </w:rPr>
      </w:pPr>
    </w:p>
    <w:p w:rsidR="00690101" w:rsidRPr="00BA73A9" w:rsidRDefault="005A556B" w:rsidP="00BA73A9">
      <w:pPr>
        <w:spacing w:line="480" w:lineRule="auto"/>
        <w:jc w:val="both"/>
        <w:rPr>
          <w:rFonts w:asciiTheme="majorHAnsi" w:eastAsia="Yu Gothic Light" w:hAnsiTheme="majorHAnsi" w:cstheme="majorHAnsi"/>
        </w:rPr>
      </w:pPr>
      <w:r w:rsidRPr="00BA73A9">
        <w:rPr>
          <w:rFonts w:asciiTheme="majorHAnsi" w:hAnsiTheme="majorHAnsi" w:cstheme="majorHAnsi"/>
          <w:i/>
        </w:rPr>
        <w:t xml:space="preserve">Previo análisis a éstas, </w:t>
      </w:r>
      <w:r w:rsidR="00690101" w:rsidRPr="00BA73A9">
        <w:rPr>
          <w:rFonts w:asciiTheme="majorHAnsi" w:hAnsiTheme="majorHAnsi" w:cstheme="majorHAnsi"/>
          <w:i/>
        </w:rPr>
        <w:t xml:space="preserve">con fundamento en el artículo </w:t>
      </w:r>
      <w:r w:rsidRPr="00BA73A9">
        <w:rPr>
          <w:rFonts w:asciiTheme="majorHAnsi" w:hAnsiTheme="majorHAnsi" w:cstheme="majorHAnsi"/>
          <w:i/>
        </w:rPr>
        <w:t xml:space="preserve">61 de la Ley Orgánica del Poder Judicial del Estado, 9 fracciones XV y XVII del Reglamento del Consejo de la Judicatura del Estado y </w:t>
      </w:r>
      <w:r w:rsidR="00690101" w:rsidRPr="00BA73A9">
        <w:rPr>
          <w:rFonts w:asciiTheme="majorHAnsi" w:hAnsiTheme="majorHAnsi" w:cstheme="majorHAnsi"/>
          <w:i/>
        </w:rPr>
        <w:t xml:space="preserve">33 segundo párrafo de la Ley de Adquisiciones, Arrendamientos y Servicios del Estado de Tlaxcala, se determina emitir el fallo a favor del licitante </w:t>
      </w:r>
      <w:r w:rsidR="00690101" w:rsidRPr="00F80B4B">
        <w:rPr>
          <w:rFonts w:asciiTheme="majorHAnsi" w:eastAsia="Yu Gothic Light" w:hAnsiTheme="majorHAnsi" w:cstheme="majorHAnsi"/>
          <w:i/>
        </w:rPr>
        <w:t>COMERCIALIZADORA CURSAN, S.A. DE C.V.</w:t>
      </w:r>
      <w:r w:rsidR="00690101" w:rsidRPr="00BA73A9">
        <w:rPr>
          <w:rFonts w:asciiTheme="majorHAnsi" w:eastAsia="Yu Gothic Light" w:hAnsiTheme="majorHAnsi" w:cstheme="majorHAnsi"/>
        </w:rPr>
        <w:t xml:space="preserve"> </w:t>
      </w:r>
      <w:r w:rsidR="00690101" w:rsidRPr="00BA73A9">
        <w:rPr>
          <w:rFonts w:asciiTheme="majorHAnsi" w:hAnsiTheme="majorHAnsi" w:cstheme="majorHAnsi"/>
          <w:i/>
        </w:rPr>
        <w:t xml:space="preserve">cuya propuesta presenta un importe total con I.V.A. de </w:t>
      </w:r>
      <w:r w:rsidR="00690101" w:rsidRPr="00BA73A9">
        <w:rPr>
          <w:rFonts w:asciiTheme="majorHAnsi" w:eastAsia="Yu Gothic Light" w:hAnsiTheme="majorHAnsi" w:cstheme="majorHAnsi"/>
        </w:rPr>
        <w:t>$350,076.65 (Trescientos cincuenta mil setenta y seis pesos 65/100 M.N.),</w:t>
      </w:r>
      <w:r w:rsidR="00690101" w:rsidRPr="00BA73A9">
        <w:rPr>
          <w:rFonts w:asciiTheme="majorHAnsi" w:hAnsiTheme="majorHAnsi" w:cstheme="majorHAnsi"/>
          <w:i/>
        </w:rPr>
        <w:t xml:space="preserve"> </w:t>
      </w:r>
      <w:r w:rsidRPr="00BA73A9">
        <w:rPr>
          <w:rFonts w:asciiTheme="majorHAnsi" w:hAnsiTheme="majorHAnsi" w:cstheme="majorHAnsi"/>
          <w:i/>
        </w:rPr>
        <w:t>que resulta ser la más baja</w:t>
      </w:r>
      <w:r w:rsidR="00690101" w:rsidRPr="00BA73A9">
        <w:rPr>
          <w:rFonts w:asciiTheme="majorHAnsi" w:hAnsiTheme="majorHAnsi" w:cstheme="majorHAnsi"/>
          <w:i/>
        </w:rPr>
        <w:t xml:space="preserve"> y reúne los requisitos técnicos, legales y económicos, y además garantiza el cumplimiento de las obligaciones que adquiera en el instrumento jurídico que posteriormente formalice, con sustento en las bases y junta de aclaraciones</w:t>
      </w:r>
      <w:r w:rsidR="00B32DA5" w:rsidRPr="00BA73A9">
        <w:rPr>
          <w:rFonts w:asciiTheme="majorHAnsi" w:hAnsiTheme="majorHAnsi" w:cstheme="majorHAnsi"/>
          <w:i/>
        </w:rPr>
        <w:t>,</w:t>
      </w:r>
      <w:r w:rsidR="00B32DA5" w:rsidRPr="00BA73A9">
        <w:rPr>
          <w:rFonts w:asciiTheme="majorHAnsi" w:eastAsia="Batang" w:hAnsiTheme="majorHAnsi" w:cstheme="majorHAnsi"/>
          <w:i/>
        </w:rPr>
        <w:t xml:space="preserve"> 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correspondientes.</w:t>
      </w:r>
      <w:r w:rsidR="00B32DA5" w:rsidRPr="00BA73A9">
        <w:rPr>
          <w:rFonts w:asciiTheme="majorHAnsi" w:eastAsia="Batang" w:hAnsiTheme="majorHAnsi" w:cstheme="majorHAnsi"/>
        </w:rPr>
        <w:t xml:space="preserve"> </w:t>
      </w:r>
      <w:r w:rsidR="00690101" w:rsidRPr="00BA73A9">
        <w:rPr>
          <w:rFonts w:asciiTheme="majorHAnsi" w:hAnsiTheme="majorHAnsi" w:cstheme="majorHAnsi"/>
          <w:i/>
        </w:rPr>
        <w:t xml:space="preserve"> </w:t>
      </w:r>
      <w:bookmarkEnd w:id="2"/>
      <w:r w:rsidR="00690101" w:rsidRPr="00BA73A9">
        <w:rPr>
          <w:rFonts w:asciiTheme="majorHAnsi" w:hAnsiTheme="majorHAnsi" w:cstheme="majorHAnsi"/>
          <w:b/>
          <w:u w:val="single"/>
        </w:rPr>
        <w:t xml:space="preserve">APROBADO </w:t>
      </w:r>
      <w:r w:rsidR="00F80B4B" w:rsidRPr="00BA73A9">
        <w:rPr>
          <w:rFonts w:asciiTheme="majorHAnsi" w:hAnsiTheme="majorHAnsi" w:cstheme="majorHAnsi"/>
          <w:b/>
          <w:u w:val="single"/>
        </w:rPr>
        <w:t>POR UNANIMIDAD</w:t>
      </w:r>
      <w:r w:rsidR="00F80B4B">
        <w:rPr>
          <w:rFonts w:asciiTheme="majorHAnsi" w:hAnsiTheme="majorHAnsi" w:cstheme="majorHAnsi"/>
          <w:b/>
          <w:u w:val="single"/>
        </w:rPr>
        <w:t xml:space="preserve"> </w:t>
      </w:r>
      <w:r w:rsidR="00690101" w:rsidRPr="00BA73A9">
        <w:rPr>
          <w:rFonts w:asciiTheme="majorHAnsi" w:hAnsiTheme="majorHAnsi" w:cstheme="majorHAnsi"/>
          <w:b/>
          <w:u w:val="single"/>
        </w:rPr>
        <w:t>DE VOTOS</w:t>
      </w:r>
      <w:r w:rsidR="00690101" w:rsidRPr="00BA73A9">
        <w:rPr>
          <w:rFonts w:asciiTheme="majorHAnsi" w:hAnsiTheme="majorHAnsi" w:cstheme="majorHAnsi"/>
          <w:i/>
        </w:rPr>
        <w:t xml:space="preserve">. - - - - - - - - - - - - - - - </w:t>
      </w:r>
      <w:r w:rsidR="00F80B4B">
        <w:rPr>
          <w:rFonts w:asciiTheme="majorHAnsi" w:hAnsiTheme="majorHAnsi" w:cstheme="majorHAnsi"/>
          <w:i/>
        </w:rPr>
        <w:t>- - - - - - - - - - - - -  - - - - - - - - - - - - - -</w:t>
      </w:r>
    </w:p>
    <w:p w:rsidR="005A556B" w:rsidRPr="00BA73A9" w:rsidRDefault="00941DAA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bookmarkStart w:id="3" w:name="_Hlk345456"/>
      <w:bookmarkStart w:id="4" w:name="_Hlk1393111"/>
      <w:r w:rsidRPr="00BA73A9">
        <w:rPr>
          <w:rFonts w:asciiTheme="majorHAnsi" w:eastAsia="Batang" w:hAnsiTheme="majorHAnsi" w:cstheme="majorHAnsi"/>
          <w:b/>
        </w:rPr>
        <w:t>ACUERDO I</w:t>
      </w:r>
      <w:r w:rsidR="005A556B" w:rsidRPr="00BA73A9">
        <w:rPr>
          <w:rFonts w:asciiTheme="majorHAnsi" w:eastAsia="Batang" w:hAnsiTheme="majorHAnsi" w:cstheme="majorHAnsi"/>
          <w:b/>
        </w:rPr>
        <w:t>V</w:t>
      </w:r>
      <w:r w:rsidRPr="00BA73A9">
        <w:rPr>
          <w:rFonts w:asciiTheme="majorHAnsi" w:eastAsia="Batang" w:hAnsiTheme="majorHAnsi" w:cstheme="majorHAnsi"/>
          <w:b/>
        </w:rPr>
        <w:t>/</w:t>
      </w:r>
      <w:r w:rsidR="005A556B" w:rsidRPr="00BA73A9">
        <w:rPr>
          <w:rFonts w:asciiTheme="majorHAnsi" w:eastAsia="Batang" w:hAnsiTheme="majorHAnsi" w:cstheme="majorHAnsi"/>
          <w:b/>
        </w:rPr>
        <w:t>10</w:t>
      </w:r>
      <w:r w:rsidRPr="00BA73A9">
        <w:rPr>
          <w:rFonts w:asciiTheme="majorHAnsi" w:eastAsia="Batang" w:hAnsiTheme="majorHAnsi" w:cstheme="majorHAnsi"/>
          <w:b/>
        </w:rPr>
        <w:t>/201</w:t>
      </w:r>
      <w:r w:rsidR="00F429E9" w:rsidRPr="00BA73A9">
        <w:rPr>
          <w:rFonts w:asciiTheme="majorHAnsi" w:eastAsia="Batang" w:hAnsiTheme="majorHAnsi" w:cstheme="majorHAnsi"/>
          <w:b/>
        </w:rPr>
        <w:t>9</w:t>
      </w:r>
      <w:r w:rsidR="00AA31EF" w:rsidRPr="00BA73A9">
        <w:rPr>
          <w:rFonts w:asciiTheme="majorHAnsi" w:eastAsia="Batang" w:hAnsiTheme="majorHAnsi" w:cstheme="majorHAnsi"/>
          <w:b/>
        </w:rPr>
        <w:t xml:space="preserve">. </w:t>
      </w:r>
      <w:r w:rsidR="005A556B" w:rsidRPr="00BA73A9">
        <w:rPr>
          <w:rFonts w:asciiTheme="majorHAnsi" w:eastAsia="Batang" w:hAnsiTheme="majorHAnsi" w:cstheme="majorHAnsi"/>
          <w:b/>
        </w:rPr>
        <w:t xml:space="preserve">Cuenta de la Secretaria Ejecutiva con el acta de informe de dictamen técnico y apertura de propuestas económicas, relacionada con el procedimiento de Licitación Pública Nacional PJET/LPN/004-2019, relativa a la adquisición del servicio de impermeabilización del edificio </w:t>
      </w:r>
      <w:r w:rsidR="00B32DA5" w:rsidRPr="00BA73A9">
        <w:rPr>
          <w:rFonts w:asciiTheme="majorHAnsi" w:eastAsia="Batang" w:hAnsiTheme="majorHAnsi" w:cstheme="majorHAnsi"/>
          <w:b/>
        </w:rPr>
        <w:t>s</w:t>
      </w:r>
      <w:r w:rsidR="005A556B" w:rsidRPr="00BA73A9">
        <w:rPr>
          <w:rFonts w:asciiTheme="majorHAnsi" w:eastAsia="Batang" w:hAnsiTheme="majorHAnsi" w:cstheme="majorHAnsi"/>
          <w:b/>
        </w:rPr>
        <w:t>ede de “Ciudad Judicial”, en seguimiento al acuerdo IV/02/2019.</w:t>
      </w:r>
      <w:r w:rsidR="00F80B4B">
        <w:rPr>
          <w:rFonts w:asciiTheme="majorHAnsi" w:eastAsia="Batang" w:hAnsiTheme="majorHAnsi" w:cstheme="majorHAnsi"/>
          <w:b/>
        </w:rPr>
        <w:t xml:space="preserve"> - - - - - - - - - - - - - - - - - - -</w:t>
      </w:r>
    </w:p>
    <w:p w:rsidR="00C26AE8" w:rsidRPr="00BA73A9" w:rsidRDefault="00806289" w:rsidP="00BA73A9">
      <w:pPr>
        <w:spacing w:after="0" w:line="480" w:lineRule="auto"/>
        <w:jc w:val="both"/>
        <w:rPr>
          <w:rFonts w:asciiTheme="majorHAnsi" w:hAnsiTheme="majorHAnsi" w:cstheme="majorHAnsi"/>
          <w:i/>
        </w:rPr>
      </w:pPr>
      <w:r w:rsidRPr="00BA73A9">
        <w:rPr>
          <w:rFonts w:asciiTheme="majorHAnsi" w:eastAsia="Batang" w:hAnsiTheme="majorHAnsi" w:cstheme="majorHAnsi"/>
        </w:rPr>
        <w:t xml:space="preserve">Dada </w:t>
      </w:r>
      <w:r w:rsidR="00C26AE8" w:rsidRPr="00BA73A9">
        <w:rPr>
          <w:rFonts w:asciiTheme="majorHAnsi" w:eastAsia="Batang" w:hAnsiTheme="majorHAnsi" w:cstheme="majorHAnsi"/>
        </w:rPr>
        <w:t>c</w:t>
      </w:r>
      <w:r w:rsidR="00C26AE8" w:rsidRPr="00BA73A9">
        <w:rPr>
          <w:rFonts w:asciiTheme="majorHAnsi" w:eastAsia="Batang" w:hAnsiTheme="majorHAnsi" w:cstheme="majorHAnsi"/>
          <w:i/>
        </w:rPr>
        <w:t>uenta por la Secretaria Ejecutiva con el acta de informe técnico y apertura de propuestas económicas, referente a la Licitación Pública PJET/LPN/00</w:t>
      </w:r>
      <w:r w:rsidR="00E47FC7" w:rsidRPr="00BA73A9">
        <w:rPr>
          <w:rFonts w:asciiTheme="majorHAnsi" w:eastAsia="Batang" w:hAnsiTheme="majorHAnsi" w:cstheme="majorHAnsi"/>
          <w:i/>
        </w:rPr>
        <w:t>4</w:t>
      </w:r>
      <w:r w:rsidR="00C26AE8" w:rsidRPr="00BA73A9">
        <w:rPr>
          <w:rFonts w:asciiTheme="majorHAnsi" w:eastAsia="Batang" w:hAnsiTheme="majorHAnsi" w:cstheme="majorHAnsi"/>
          <w:i/>
        </w:rPr>
        <w:t>-</w:t>
      </w:r>
      <w:r w:rsidR="00C26AE8" w:rsidRPr="00BA73A9">
        <w:rPr>
          <w:rFonts w:asciiTheme="majorHAnsi" w:eastAsia="Batang" w:hAnsiTheme="majorHAnsi" w:cstheme="majorHAnsi"/>
        </w:rPr>
        <w:t>201</w:t>
      </w:r>
      <w:r w:rsidR="006A14B3" w:rsidRPr="00BA73A9">
        <w:rPr>
          <w:rFonts w:asciiTheme="majorHAnsi" w:eastAsia="Batang" w:hAnsiTheme="majorHAnsi" w:cstheme="majorHAnsi"/>
        </w:rPr>
        <w:t>9</w:t>
      </w:r>
      <w:r w:rsidR="00C26AE8" w:rsidRPr="00BA73A9">
        <w:rPr>
          <w:rFonts w:asciiTheme="majorHAnsi" w:eastAsia="Batang" w:hAnsiTheme="majorHAnsi" w:cstheme="majorHAnsi"/>
          <w:i/>
        </w:rPr>
        <w:t>,</w:t>
      </w:r>
      <w:r w:rsidR="00864244" w:rsidRPr="00BA73A9">
        <w:rPr>
          <w:rFonts w:asciiTheme="majorHAnsi" w:eastAsia="Batang" w:hAnsiTheme="majorHAnsi" w:cstheme="majorHAnsi"/>
          <w:b/>
        </w:rPr>
        <w:t xml:space="preserve"> </w:t>
      </w:r>
      <w:r w:rsidR="00864244" w:rsidRPr="00BA73A9">
        <w:rPr>
          <w:rFonts w:asciiTheme="majorHAnsi" w:eastAsia="Batang" w:hAnsiTheme="majorHAnsi" w:cstheme="majorHAnsi"/>
          <w:i/>
        </w:rPr>
        <w:t xml:space="preserve">relativa a la adquisición del servicio de impermeabilización del edificio sede de “Ciudad Judicial”, en seguimiento al acuerdo IV/02/2019, </w:t>
      </w:r>
      <w:r w:rsidR="00C26AE8" w:rsidRPr="00BA73A9">
        <w:rPr>
          <w:rFonts w:asciiTheme="majorHAnsi" w:eastAsia="Batang" w:hAnsiTheme="majorHAnsi" w:cstheme="majorHAnsi"/>
          <w:i/>
        </w:rPr>
        <w:t xml:space="preserve"> </w:t>
      </w:r>
      <w:r w:rsidR="00ED20C5" w:rsidRPr="00BA73A9">
        <w:rPr>
          <w:rFonts w:asciiTheme="majorHAnsi" w:eastAsia="Batang" w:hAnsiTheme="majorHAnsi" w:cstheme="majorHAnsi"/>
          <w:i/>
        </w:rPr>
        <w:t xml:space="preserve">en el que participaron </w:t>
      </w:r>
      <w:r w:rsidR="001D0EC6" w:rsidRPr="00BA73A9">
        <w:rPr>
          <w:rFonts w:asciiTheme="majorHAnsi" w:eastAsia="Batang" w:hAnsiTheme="majorHAnsi" w:cstheme="majorHAnsi"/>
          <w:i/>
        </w:rPr>
        <w:t>dos</w:t>
      </w:r>
      <w:r w:rsidR="00464C3C">
        <w:rPr>
          <w:rFonts w:asciiTheme="majorHAnsi" w:eastAsia="Batang" w:hAnsiTheme="majorHAnsi" w:cstheme="majorHAnsi"/>
          <w:i/>
        </w:rPr>
        <w:t xml:space="preserve"> empresas:</w:t>
      </w:r>
      <w:r w:rsidR="00ED20C5" w:rsidRPr="00BA73A9">
        <w:rPr>
          <w:rFonts w:asciiTheme="majorHAnsi" w:eastAsia="Batang" w:hAnsiTheme="majorHAnsi" w:cstheme="majorHAnsi"/>
          <w:i/>
        </w:rPr>
        <w:t xml:space="preserve"> </w:t>
      </w:r>
      <w:r w:rsidR="00E47FC7" w:rsidRPr="00BA73A9">
        <w:rPr>
          <w:rFonts w:asciiTheme="majorHAnsi" w:eastAsia="Batang" w:hAnsiTheme="majorHAnsi" w:cstheme="majorHAnsi"/>
          <w:i/>
        </w:rPr>
        <w:t>PROIMPER, S.A. DE C.V.</w:t>
      </w:r>
      <w:r w:rsidR="00ED20C5" w:rsidRPr="00BA73A9">
        <w:rPr>
          <w:rFonts w:asciiTheme="majorHAnsi" w:eastAsia="Batang" w:hAnsiTheme="majorHAnsi" w:cstheme="majorHAnsi"/>
          <w:i/>
        </w:rPr>
        <w:t xml:space="preserve"> y</w:t>
      </w:r>
      <w:r w:rsidR="00E47FC7" w:rsidRPr="00BA73A9">
        <w:rPr>
          <w:rFonts w:asciiTheme="majorHAnsi" w:eastAsia="Batang" w:hAnsiTheme="majorHAnsi" w:cstheme="majorHAnsi"/>
          <w:i/>
        </w:rPr>
        <w:t>, JESUS OSCAR CUATEPOTZO QUIÑONEZ</w:t>
      </w:r>
      <w:r w:rsidR="00ED20C5" w:rsidRPr="00BA73A9">
        <w:rPr>
          <w:rFonts w:asciiTheme="majorHAnsi" w:eastAsia="Batang" w:hAnsiTheme="majorHAnsi" w:cstheme="majorHAnsi"/>
          <w:i/>
        </w:rPr>
        <w:t xml:space="preserve">.; sin embargo, el participante </w:t>
      </w:r>
      <w:r w:rsidR="00E47FC7" w:rsidRPr="00BA73A9">
        <w:rPr>
          <w:rFonts w:asciiTheme="majorHAnsi" w:eastAsia="Batang" w:hAnsiTheme="majorHAnsi" w:cstheme="majorHAnsi"/>
          <w:i/>
        </w:rPr>
        <w:t>PROIMPER, S.A. DE C.V.</w:t>
      </w:r>
      <w:r w:rsidR="00ED20C5" w:rsidRPr="00BA73A9">
        <w:rPr>
          <w:rFonts w:asciiTheme="majorHAnsi" w:eastAsia="Batang" w:hAnsiTheme="majorHAnsi" w:cstheme="majorHAnsi"/>
          <w:i/>
        </w:rPr>
        <w:t>, fue descalificado por no presentar la documentación requerida</w:t>
      </w:r>
      <w:r w:rsidR="00E47FC7" w:rsidRPr="00BA73A9">
        <w:rPr>
          <w:rFonts w:asciiTheme="majorHAnsi" w:eastAsia="Batang" w:hAnsiTheme="majorHAnsi" w:cstheme="majorHAnsi"/>
          <w:i/>
        </w:rPr>
        <w:t xml:space="preserve"> en la propuesta técnica</w:t>
      </w:r>
      <w:r w:rsidR="00ED20C5" w:rsidRPr="00BA73A9">
        <w:rPr>
          <w:rFonts w:asciiTheme="majorHAnsi" w:eastAsia="Batang" w:hAnsiTheme="majorHAnsi" w:cstheme="majorHAnsi"/>
          <w:i/>
        </w:rPr>
        <w:t xml:space="preserve">, lo anterior, en observancia </w:t>
      </w:r>
      <w:r w:rsidR="001A02B8" w:rsidRPr="00BA73A9">
        <w:rPr>
          <w:rFonts w:asciiTheme="majorHAnsi" w:eastAsia="Batang" w:hAnsiTheme="majorHAnsi" w:cstheme="majorHAnsi"/>
          <w:i/>
        </w:rPr>
        <w:t xml:space="preserve">al numeral </w:t>
      </w:r>
      <w:r w:rsidR="00ED20C5" w:rsidRPr="00BA73A9">
        <w:rPr>
          <w:rFonts w:asciiTheme="majorHAnsi" w:eastAsia="Batang" w:hAnsiTheme="majorHAnsi" w:cstheme="majorHAnsi"/>
          <w:i/>
        </w:rPr>
        <w:t xml:space="preserve"> </w:t>
      </w:r>
      <w:r w:rsidR="00E47FC7" w:rsidRPr="00BA73A9">
        <w:rPr>
          <w:rFonts w:asciiTheme="majorHAnsi" w:eastAsia="Batang" w:hAnsiTheme="majorHAnsi" w:cstheme="majorHAnsi"/>
          <w:i/>
        </w:rPr>
        <w:t>4.5.1 (ANEXO E)</w:t>
      </w:r>
      <w:r w:rsidR="00ED20C5" w:rsidRPr="00BA73A9">
        <w:rPr>
          <w:rFonts w:asciiTheme="majorHAnsi" w:eastAsia="Batang" w:hAnsiTheme="majorHAnsi" w:cstheme="majorHAnsi"/>
          <w:i/>
        </w:rPr>
        <w:t xml:space="preserve"> y 14.2</w:t>
      </w:r>
      <w:r w:rsidR="001A02B8" w:rsidRPr="00BA73A9">
        <w:rPr>
          <w:rFonts w:asciiTheme="majorHAnsi" w:eastAsia="Batang" w:hAnsiTheme="majorHAnsi" w:cstheme="majorHAnsi"/>
          <w:i/>
        </w:rPr>
        <w:t xml:space="preserve"> de las bases</w:t>
      </w:r>
      <w:r w:rsidR="00976FA5" w:rsidRPr="00BA73A9">
        <w:rPr>
          <w:rFonts w:asciiTheme="majorHAnsi" w:eastAsia="Batang" w:hAnsiTheme="majorHAnsi" w:cstheme="majorHAnsi"/>
          <w:i/>
        </w:rPr>
        <w:t xml:space="preserve">, por tanto, </w:t>
      </w:r>
      <w:r w:rsidR="00ED20C5" w:rsidRPr="00BA73A9">
        <w:rPr>
          <w:rFonts w:asciiTheme="majorHAnsi" w:eastAsia="Batang" w:hAnsiTheme="majorHAnsi" w:cstheme="majorHAnsi"/>
          <w:i/>
        </w:rPr>
        <w:t xml:space="preserve"> </w:t>
      </w:r>
      <w:r w:rsidR="00C26AE8" w:rsidRPr="00BA73A9">
        <w:rPr>
          <w:rFonts w:asciiTheme="majorHAnsi" w:eastAsia="Batang" w:hAnsiTheme="majorHAnsi" w:cstheme="majorHAnsi"/>
          <w:i/>
        </w:rPr>
        <w:t>l</w:t>
      </w:r>
      <w:r w:rsidR="00C26AE8" w:rsidRPr="00BA73A9">
        <w:rPr>
          <w:rFonts w:asciiTheme="majorHAnsi" w:hAnsiTheme="majorHAnsi" w:cstheme="majorHAnsi"/>
          <w:i/>
        </w:rPr>
        <w:t>a convocante en el acto de</w:t>
      </w:r>
      <w:r w:rsidR="00E1718B" w:rsidRPr="00BA73A9">
        <w:rPr>
          <w:rFonts w:asciiTheme="majorHAnsi" w:hAnsiTheme="majorHAnsi" w:cstheme="majorHAnsi"/>
          <w:i/>
        </w:rPr>
        <w:t>l</w:t>
      </w:r>
      <w:r w:rsidR="000B733A" w:rsidRPr="00BA73A9">
        <w:rPr>
          <w:rFonts w:asciiTheme="majorHAnsi" w:hAnsiTheme="majorHAnsi" w:cstheme="majorHAnsi"/>
          <w:i/>
        </w:rPr>
        <w:t xml:space="preserve"> </w:t>
      </w:r>
      <w:r w:rsidR="00C26AE8" w:rsidRPr="00BA73A9">
        <w:rPr>
          <w:rFonts w:asciiTheme="majorHAnsi" w:hAnsiTheme="majorHAnsi" w:cstheme="majorHAnsi"/>
          <w:i/>
        </w:rPr>
        <w:t xml:space="preserve"> informe de dictamen técnico y apertura de propuestas económicas, llevó a cabo la apertura de la propuesta económica presentada</w:t>
      </w:r>
      <w:r w:rsidR="003B496E" w:rsidRPr="00BA73A9">
        <w:rPr>
          <w:rFonts w:asciiTheme="majorHAnsi" w:hAnsiTheme="majorHAnsi" w:cstheme="majorHAnsi"/>
          <w:i/>
        </w:rPr>
        <w:t xml:space="preserve"> </w:t>
      </w:r>
      <w:r w:rsidR="00BF5865" w:rsidRPr="00BA73A9">
        <w:rPr>
          <w:rFonts w:asciiTheme="majorHAnsi" w:hAnsiTheme="majorHAnsi" w:cstheme="majorHAnsi"/>
          <w:i/>
        </w:rPr>
        <w:t xml:space="preserve">por </w:t>
      </w:r>
      <w:r w:rsidR="00E47FC7" w:rsidRPr="00BA73A9">
        <w:rPr>
          <w:rFonts w:asciiTheme="majorHAnsi" w:hAnsiTheme="majorHAnsi" w:cstheme="majorHAnsi"/>
          <w:i/>
        </w:rPr>
        <w:t>el</w:t>
      </w:r>
      <w:r w:rsidR="00C26AE8" w:rsidRPr="00BA73A9">
        <w:rPr>
          <w:rFonts w:asciiTheme="majorHAnsi" w:hAnsiTheme="majorHAnsi" w:cstheme="majorHAnsi"/>
          <w:i/>
        </w:rPr>
        <w:t xml:space="preserve"> licitante participante que no fue descalificado en las etapas anteriores de la presente licitación para el análisis cuantitativo y demás que resultaran procedentes, siendo: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6A14B3" w:rsidRPr="00BA73A9" w:rsidTr="00E165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BA73A9" w:rsidRDefault="006A14B3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>LICITANTE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BA73A9" w:rsidRDefault="006A14B3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 xml:space="preserve">IMPORTE ANUAL </w:t>
            </w:r>
          </w:p>
          <w:p w:rsidR="006A14B3" w:rsidRPr="00BA73A9" w:rsidRDefault="006A14B3" w:rsidP="00D71A60">
            <w:pPr>
              <w:spacing w:line="36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BA73A9">
              <w:rPr>
                <w:rFonts w:asciiTheme="majorHAnsi" w:eastAsia="Yu Gothic UI" w:hAnsiTheme="majorHAnsi" w:cstheme="majorHAnsi"/>
                <w:b/>
              </w:rPr>
              <w:t>(CON I.V.A.)</w:t>
            </w:r>
          </w:p>
        </w:tc>
      </w:tr>
      <w:tr w:rsidR="006A14B3" w:rsidRPr="00BA73A9" w:rsidTr="00E165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7" w:rsidRPr="00BA73A9" w:rsidRDefault="00E47FC7" w:rsidP="00D71A60">
            <w:pPr>
              <w:tabs>
                <w:tab w:val="left" w:pos="7530"/>
              </w:tabs>
              <w:spacing w:line="360" w:lineRule="auto"/>
              <w:rPr>
                <w:rFonts w:asciiTheme="majorHAnsi" w:eastAsia="Yu Gothic UI Light" w:hAnsiTheme="majorHAnsi" w:cstheme="majorHAnsi"/>
                <w:b/>
                <w:bCs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lastRenderedPageBreak/>
              <w:t>JESUS</w:t>
            </w:r>
            <w:r w:rsidRPr="00BA73A9">
              <w:rPr>
                <w:rFonts w:asciiTheme="majorHAnsi" w:eastAsia="Yu Gothic UI Light" w:hAnsiTheme="majorHAnsi" w:cstheme="majorHAnsi"/>
                <w:b/>
                <w:bCs/>
              </w:rPr>
              <w:t xml:space="preserve"> </w:t>
            </w:r>
            <w:r w:rsidRPr="00BA73A9">
              <w:rPr>
                <w:rFonts w:asciiTheme="majorHAnsi" w:eastAsia="Yu Gothic Light" w:hAnsiTheme="majorHAnsi" w:cstheme="majorHAnsi"/>
              </w:rPr>
              <w:t>OSCAR CUATEPOTZO QUIÑONEZ</w:t>
            </w:r>
          </w:p>
          <w:p w:rsidR="006A14B3" w:rsidRPr="00BA73A9" w:rsidRDefault="006A14B3" w:rsidP="00D71A60">
            <w:pPr>
              <w:spacing w:line="360" w:lineRule="auto"/>
              <w:rPr>
                <w:rFonts w:asciiTheme="majorHAnsi" w:eastAsia="Yu Gothic UI" w:hAnsiTheme="majorHAnsi" w:cstheme="maj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3" w:rsidRPr="00BA73A9" w:rsidRDefault="00FE1BF3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 xml:space="preserve">$944,887.87 </w:t>
            </w:r>
          </w:p>
          <w:p w:rsidR="006A14B3" w:rsidRPr="00BA73A9" w:rsidRDefault="00FE1BF3" w:rsidP="00D71A60">
            <w:pPr>
              <w:spacing w:line="360" w:lineRule="auto"/>
              <w:rPr>
                <w:rFonts w:asciiTheme="majorHAnsi" w:eastAsia="Yu Gothic Light" w:hAnsiTheme="majorHAnsi" w:cstheme="majorHAnsi"/>
              </w:rPr>
            </w:pPr>
            <w:r w:rsidRPr="00BA73A9">
              <w:rPr>
                <w:rFonts w:asciiTheme="majorHAnsi" w:eastAsia="Yu Gothic Light" w:hAnsiTheme="majorHAnsi" w:cstheme="majorHAnsi"/>
              </w:rPr>
              <w:t>(Novecientos cuarenta y cuatro mil ochocientos ochenta y siete pesos 87/100 M.N.)</w:t>
            </w:r>
          </w:p>
        </w:tc>
      </w:tr>
    </w:tbl>
    <w:p w:rsidR="00F77A33" w:rsidRPr="00BA73A9" w:rsidRDefault="00C26AE8" w:rsidP="00BA73A9">
      <w:pPr>
        <w:spacing w:line="480" w:lineRule="auto"/>
        <w:jc w:val="both"/>
        <w:rPr>
          <w:rFonts w:asciiTheme="majorHAnsi" w:eastAsia="Yu Gothic Light" w:hAnsiTheme="majorHAnsi" w:cstheme="majorHAnsi"/>
          <w:b/>
          <w:i/>
        </w:rPr>
      </w:pPr>
      <w:r w:rsidRPr="00BA73A9">
        <w:rPr>
          <w:rFonts w:asciiTheme="majorHAnsi" w:hAnsiTheme="majorHAnsi" w:cstheme="majorHAnsi"/>
          <w:i/>
        </w:rPr>
        <w:t>Por lo que, con fundamento en</w:t>
      </w:r>
      <w:r w:rsidR="00864244" w:rsidRPr="00BA73A9">
        <w:rPr>
          <w:rFonts w:asciiTheme="majorHAnsi" w:hAnsiTheme="majorHAnsi" w:cstheme="majorHAnsi"/>
          <w:i/>
        </w:rPr>
        <w:t xml:space="preserve"> los artículos 61 de la Ley Orgánica del Poder Judicial del Estado, 9 fracciones XV y XVII del Reglamento del Consejo de la Judicatura del Estado</w:t>
      </w:r>
      <w:r w:rsidRPr="00BA73A9">
        <w:rPr>
          <w:rFonts w:asciiTheme="majorHAnsi" w:hAnsiTheme="majorHAnsi" w:cstheme="majorHAnsi"/>
          <w:i/>
        </w:rPr>
        <w:t xml:space="preserve"> </w:t>
      </w:r>
      <w:r w:rsidR="00864244" w:rsidRPr="00BA73A9">
        <w:rPr>
          <w:rFonts w:asciiTheme="majorHAnsi" w:hAnsiTheme="majorHAnsi" w:cstheme="majorHAnsi"/>
          <w:i/>
        </w:rPr>
        <w:t xml:space="preserve">y </w:t>
      </w:r>
      <w:r w:rsidRPr="00BA73A9">
        <w:rPr>
          <w:rFonts w:asciiTheme="majorHAnsi" w:hAnsiTheme="majorHAnsi" w:cstheme="majorHAnsi"/>
          <w:i/>
        </w:rPr>
        <w:t xml:space="preserve"> 33 segundo párrafo de la Ley de Adquisiciones, Arrendamientos y Servicios del Estado de Tlaxcala, se determina emitir el fallo a favor del licitante </w:t>
      </w:r>
      <w:r w:rsidR="00BF5865" w:rsidRPr="00BA73A9">
        <w:rPr>
          <w:rFonts w:asciiTheme="majorHAnsi" w:eastAsia="Yu Gothic Light" w:hAnsiTheme="majorHAnsi" w:cstheme="majorHAnsi"/>
          <w:b/>
          <w:i/>
        </w:rPr>
        <w:t>JESUS OSCAR CUATEPOTZO QUIÑONEZ</w:t>
      </w:r>
      <w:r w:rsidR="00864244" w:rsidRPr="00BA73A9">
        <w:rPr>
          <w:rFonts w:asciiTheme="majorHAnsi" w:eastAsia="Yu Gothic Light" w:hAnsiTheme="majorHAnsi" w:cstheme="majorHAnsi"/>
          <w:b/>
          <w:i/>
        </w:rPr>
        <w:t xml:space="preserve">, </w:t>
      </w:r>
      <w:r w:rsidR="00BF5865" w:rsidRPr="00BA73A9">
        <w:rPr>
          <w:rFonts w:asciiTheme="majorHAnsi" w:hAnsiTheme="majorHAnsi" w:cstheme="majorHAnsi"/>
          <w:i/>
        </w:rPr>
        <w:t xml:space="preserve">cuya </w:t>
      </w:r>
      <w:r w:rsidRPr="00BA73A9">
        <w:rPr>
          <w:rFonts w:asciiTheme="majorHAnsi" w:hAnsiTheme="majorHAnsi" w:cstheme="majorHAnsi"/>
          <w:i/>
        </w:rPr>
        <w:t xml:space="preserve">propuesta </w:t>
      </w:r>
      <w:r w:rsidR="00BF5865" w:rsidRPr="00BA73A9">
        <w:rPr>
          <w:rFonts w:asciiTheme="majorHAnsi" w:hAnsiTheme="majorHAnsi" w:cstheme="majorHAnsi"/>
          <w:i/>
        </w:rPr>
        <w:t>presenta</w:t>
      </w:r>
      <w:r w:rsidRPr="00BA73A9">
        <w:rPr>
          <w:rFonts w:asciiTheme="majorHAnsi" w:hAnsiTheme="majorHAnsi" w:cstheme="majorHAnsi"/>
          <w:i/>
        </w:rPr>
        <w:t xml:space="preserve"> un importe</w:t>
      </w:r>
      <w:r w:rsidR="00160F19" w:rsidRPr="00BA73A9">
        <w:rPr>
          <w:rFonts w:asciiTheme="majorHAnsi" w:hAnsiTheme="majorHAnsi" w:cstheme="majorHAnsi"/>
          <w:i/>
        </w:rPr>
        <w:t xml:space="preserve"> total</w:t>
      </w:r>
      <w:r w:rsidRPr="00BA73A9">
        <w:rPr>
          <w:rFonts w:asciiTheme="majorHAnsi" w:hAnsiTheme="majorHAnsi" w:cstheme="majorHAnsi"/>
          <w:i/>
        </w:rPr>
        <w:t xml:space="preserve"> </w:t>
      </w:r>
      <w:r w:rsidR="006A14B3" w:rsidRPr="00BA73A9">
        <w:rPr>
          <w:rFonts w:asciiTheme="majorHAnsi" w:hAnsiTheme="majorHAnsi" w:cstheme="majorHAnsi"/>
          <w:i/>
        </w:rPr>
        <w:t>con</w:t>
      </w:r>
      <w:r w:rsidRPr="00BA73A9">
        <w:rPr>
          <w:rFonts w:asciiTheme="majorHAnsi" w:hAnsiTheme="majorHAnsi" w:cstheme="majorHAnsi"/>
          <w:i/>
        </w:rPr>
        <w:t xml:space="preserve"> I.V.A. de </w:t>
      </w:r>
      <w:r w:rsidR="00BF5865" w:rsidRPr="00BA73A9">
        <w:rPr>
          <w:rFonts w:asciiTheme="majorHAnsi" w:eastAsia="Yu Gothic Light" w:hAnsiTheme="majorHAnsi" w:cstheme="majorHAnsi"/>
        </w:rPr>
        <w:t>$944,887.87 (Novecientos cuarenta y cuatro mil ochocientos ochenta y siete pesos 87/100 M.N.)</w:t>
      </w:r>
      <w:r w:rsidRPr="00BA73A9">
        <w:rPr>
          <w:rFonts w:asciiTheme="majorHAnsi" w:hAnsiTheme="majorHAnsi" w:cstheme="majorHAnsi"/>
          <w:i/>
        </w:rPr>
        <w:t>,</w:t>
      </w:r>
      <w:r w:rsidR="00BF5865" w:rsidRPr="00BA73A9">
        <w:rPr>
          <w:rFonts w:asciiTheme="majorHAnsi" w:hAnsiTheme="majorHAnsi" w:cstheme="majorHAnsi"/>
          <w:i/>
        </w:rPr>
        <w:t xml:space="preserve"> </w:t>
      </w:r>
      <w:r w:rsidRPr="00BA73A9">
        <w:rPr>
          <w:rFonts w:asciiTheme="majorHAnsi" w:hAnsiTheme="majorHAnsi" w:cstheme="majorHAnsi"/>
          <w:i/>
        </w:rPr>
        <w:t xml:space="preserve"> y </w:t>
      </w:r>
      <w:r w:rsidR="00C40A69" w:rsidRPr="00BA73A9">
        <w:rPr>
          <w:rFonts w:asciiTheme="majorHAnsi" w:hAnsiTheme="majorHAnsi" w:cstheme="majorHAnsi"/>
          <w:i/>
        </w:rPr>
        <w:t>reúne</w:t>
      </w:r>
      <w:r w:rsidRPr="00BA73A9">
        <w:rPr>
          <w:rFonts w:asciiTheme="majorHAnsi" w:hAnsiTheme="majorHAnsi" w:cstheme="majorHAnsi"/>
          <w:i/>
        </w:rPr>
        <w:t xml:space="preserve"> los requisitos técnicos, legales y económicos, y además garantiza el cumplimiento de las obligaciones que adquiera en el instrumento jurídico que posteriormente formalice, con sustento en las bases y junta de aclaraciones</w:t>
      </w:r>
      <w:bookmarkEnd w:id="3"/>
      <w:r w:rsidR="00B32DA5" w:rsidRPr="00BA73A9">
        <w:rPr>
          <w:rFonts w:asciiTheme="majorHAnsi" w:hAnsiTheme="majorHAnsi" w:cstheme="majorHAnsi"/>
          <w:i/>
        </w:rPr>
        <w:t xml:space="preserve">, </w:t>
      </w:r>
      <w:r w:rsidR="00B32DA5" w:rsidRPr="00BA73A9">
        <w:rPr>
          <w:rFonts w:asciiTheme="majorHAnsi" w:eastAsia="Batang" w:hAnsiTheme="majorHAnsi" w:cstheme="majorHAnsi"/>
          <w:i/>
        </w:rPr>
        <w:t>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correspondientes.</w:t>
      </w:r>
      <w:r w:rsidRPr="00BA73A9">
        <w:rPr>
          <w:rFonts w:asciiTheme="majorHAnsi" w:hAnsiTheme="majorHAnsi" w:cstheme="majorHAnsi"/>
          <w:i/>
        </w:rPr>
        <w:t xml:space="preserve"> </w:t>
      </w:r>
      <w:bookmarkEnd w:id="4"/>
      <w:r w:rsidRPr="00BA73A9">
        <w:rPr>
          <w:rFonts w:asciiTheme="majorHAnsi" w:hAnsiTheme="majorHAnsi" w:cstheme="majorHAnsi"/>
          <w:b/>
          <w:u w:val="single"/>
        </w:rPr>
        <w:t xml:space="preserve">APROBADO </w:t>
      </w:r>
      <w:bookmarkStart w:id="5" w:name="_Hlk532215619"/>
      <w:r w:rsidR="001E2721" w:rsidRPr="00BA73A9">
        <w:rPr>
          <w:rFonts w:asciiTheme="majorHAnsi" w:hAnsiTheme="majorHAnsi" w:cstheme="majorHAnsi"/>
          <w:b/>
          <w:u w:val="single"/>
        </w:rPr>
        <w:t xml:space="preserve">POR </w:t>
      </w:r>
      <w:r w:rsidR="001E2721">
        <w:rPr>
          <w:rFonts w:asciiTheme="majorHAnsi" w:hAnsiTheme="majorHAnsi" w:cstheme="majorHAnsi"/>
          <w:b/>
          <w:u w:val="single"/>
        </w:rPr>
        <w:t>UNANIMIDAD</w:t>
      </w:r>
      <w:r w:rsidR="00464C3C">
        <w:rPr>
          <w:rFonts w:asciiTheme="majorHAnsi" w:hAnsiTheme="majorHAnsi" w:cstheme="majorHAnsi"/>
          <w:b/>
          <w:u w:val="single"/>
        </w:rPr>
        <w:t xml:space="preserve"> </w:t>
      </w:r>
      <w:r w:rsidR="00347929" w:rsidRPr="00BA73A9">
        <w:rPr>
          <w:rFonts w:asciiTheme="majorHAnsi" w:hAnsiTheme="majorHAnsi" w:cstheme="majorHAnsi"/>
          <w:b/>
          <w:u w:val="single"/>
        </w:rPr>
        <w:t>DE VOTOS</w:t>
      </w:r>
      <w:r w:rsidR="00347929" w:rsidRPr="00BA73A9">
        <w:rPr>
          <w:rFonts w:asciiTheme="majorHAnsi" w:hAnsiTheme="majorHAnsi" w:cstheme="majorHAnsi"/>
          <w:i/>
        </w:rPr>
        <w:t xml:space="preserve">. - </w:t>
      </w:r>
      <w:r w:rsidR="00464C3C">
        <w:rPr>
          <w:rFonts w:asciiTheme="majorHAnsi" w:hAnsiTheme="majorHAnsi" w:cstheme="majorHAnsi"/>
          <w:i/>
        </w:rPr>
        <w:t>- - - - - - - - - - - - - - - - - - - - - - - - - - - - - - - - - - - - - - -  -</w:t>
      </w:r>
    </w:p>
    <w:p w:rsidR="00864244" w:rsidRPr="00BA73A9" w:rsidRDefault="00864244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bookmarkStart w:id="6" w:name="_Hlk1393231"/>
      <w:r w:rsidRPr="00BA73A9">
        <w:rPr>
          <w:rFonts w:asciiTheme="majorHAnsi" w:eastAsia="Batang" w:hAnsiTheme="majorHAnsi" w:cstheme="majorHAnsi"/>
          <w:b/>
        </w:rPr>
        <w:t>ACUERDO V/10/2019. Cuenta de la Secretaria Ejecutiva con la propuesta para la contratación de servicios profesionales de auditoría profesional y evaluación de riesgos a la cuenta pública, correspondiente a los ejercicios 2017 y 2018.</w:t>
      </w:r>
    </w:p>
    <w:p w:rsidR="00B32DA5" w:rsidRPr="00220A51" w:rsidRDefault="009D1F24" w:rsidP="00BA73A9">
      <w:pPr>
        <w:spacing w:line="480" w:lineRule="auto"/>
        <w:jc w:val="both"/>
        <w:rPr>
          <w:rFonts w:asciiTheme="majorHAnsi" w:eastAsia="Batang" w:hAnsiTheme="majorHAnsi" w:cstheme="majorHAnsi"/>
        </w:rPr>
      </w:pPr>
      <w:r w:rsidRPr="00BA73A9">
        <w:rPr>
          <w:rFonts w:asciiTheme="majorHAnsi" w:eastAsia="Batang" w:hAnsiTheme="majorHAnsi" w:cstheme="majorHAnsi"/>
          <w:i/>
        </w:rPr>
        <w:t xml:space="preserve">Dada cuenta por la Secretaría Ejecutiva con la propuesta </w:t>
      </w:r>
      <w:r w:rsidR="00847508" w:rsidRPr="00BA73A9">
        <w:rPr>
          <w:rFonts w:asciiTheme="majorHAnsi" w:eastAsia="Batang" w:hAnsiTheme="majorHAnsi" w:cstheme="majorHAnsi"/>
          <w:i/>
        </w:rPr>
        <w:t>de servicios profesionales de auditoría integral y evaluación de riesgos a la Cuenta Pública correspondiente al periodo comprendido entre el 1 de enero y el 31 de diciembre de 2017 así como el periodo comprendido entre el 1 de enero y el 31 de diciembre de 2018</w:t>
      </w:r>
      <w:r w:rsidRPr="00BA73A9">
        <w:rPr>
          <w:rFonts w:asciiTheme="majorHAnsi" w:eastAsia="Batang" w:hAnsiTheme="majorHAnsi" w:cstheme="majorHAnsi"/>
          <w:i/>
        </w:rPr>
        <w:t>”</w:t>
      </w:r>
      <w:r w:rsidR="0003162A" w:rsidRPr="00BA73A9">
        <w:rPr>
          <w:rFonts w:asciiTheme="majorHAnsi" w:eastAsia="Batang" w:hAnsiTheme="majorHAnsi" w:cstheme="majorHAnsi"/>
          <w:i/>
        </w:rPr>
        <w:t>,</w:t>
      </w:r>
      <w:r w:rsidR="00DB29D4">
        <w:rPr>
          <w:rFonts w:asciiTheme="majorHAnsi" w:eastAsia="Batang" w:hAnsiTheme="majorHAnsi" w:cstheme="majorHAnsi"/>
          <w:i/>
        </w:rPr>
        <w:t>c</w:t>
      </w:r>
      <w:r w:rsidR="0003162A" w:rsidRPr="00BA73A9">
        <w:rPr>
          <w:rFonts w:asciiTheme="majorHAnsi" w:eastAsia="Batang" w:hAnsiTheme="majorHAnsi" w:cstheme="majorHAnsi"/>
          <w:i/>
        </w:rPr>
        <w:t xml:space="preserve">on fundamento en lo que establecen los artículos 28, 72 fracción X, 80 Bis de la Ley Orgánica del Poder Judicial del Estado, </w:t>
      </w:r>
      <w:r w:rsidR="0003162A" w:rsidRPr="00BA73A9">
        <w:rPr>
          <w:rFonts w:asciiTheme="majorHAnsi" w:hAnsiTheme="majorHAnsi" w:cstheme="majorHAnsi"/>
          <w:i/>
        </w:rPr>
        <w:t>9 fracciones XV y XVII del Reglamento del Consejo de la Judicatura del Estado y 38 fracción XIII, de la Ley de Adquisiciones, Arrendamientos y Servicios del Estado de Tlaxcala,</w:t>
      </w:r>
      <w:r w:rsidR="00154863" w:rsidRPr="00BA73A9">
        <w:rPr>
          <w:rFonts w:asciiTheme="majorHAnsi" w:hAnsiTheme="majorHAnsi" w:cstheme="majorHAnsi"/>
          <w:i/>
        </w:rPr>
        <w:t xml:space="preserve"> se autoriza al </w:t>
      </w:r>
      <w:r w:rsidR="005E7458" w:rsidRPr="00BA73A9">
        <w:rPr>
          <w:rFonts w:asciiTheme="majorHAnsi" w:hAnsiTheme="majorHAnsi" w:cstheme="majorHAnsi"/>
          <w:i/>
        </w:rPr>
        <w:t>Magistrado Presidente del Tribunal Superior de Justicia y del Consejo de la Judicatura del Estado, para la celebración del contrato de referencia</w:t>
      </w:r>
      <w:r w:rsidR="00E31592" w:rsidRPr="00BA73A9">
        <w:rPr>
          <w:rFonts w:asciiTheme="majorHAnsi" w:hAnsiTheme="majorHAnsi" w:cstheme="majorHAnsi"/>
          <w:i/>
        </w:rPr>
        <w:t xml:space="preserve"> en los términos precisados</w:t>
      </w:r>
      <w:r w:rsidR="002A168B">
        <w:rPr>
          <w:rFonts w:asciiTheme="majorHAnsi" w:hAnsiTheme="majorHAnsi" w:cstheme="majorHAnsi"/>
          <w:i/>
        </w:rPr>
        <w:t xml:space="preserve"> con la empresa “BALANCE SOLUCIONES CONTABLES &amp; GUBERNAMENTALES S.C.”, por la cantidad de $253,460.00 (doscientos cincuenta y tres mil cuatrocientos sesenta pesos 00/100 M.N.)</w:t>
      </w:r>
      <w:r w:rsidR="005A3161">
        <w:rPr>
          <w:rFonts w:asciiTheme="majorHAnsi" w:hAnsiTheme="majorHAnsi" w:cstheme="majorHAnsi"/>
          <w:i/>
        </w:rPr>
        <w:t xml:space="preserve">, con IVA incluido, </w:t>
      </w:r>
      <w:bookmarkEnd w:id="5"/>
      <w:r w:rsidR="00B32DA5" w:rsidRPr="00BA73A9">
        <w:rPr>
          <w:rFonts w:asciiTheme="majorHAnsi" w:eastAsia="Batang" w:hAnsiTheme="majorHAnsi" w:cstheme="majorHAnsi"/>
          <w:i/>
        </w:rPr>
        <w:t xml:space="preserve">instruyendo para tal efecto a la Subdirectora de Recursos Humanos y Materiales de la Secretaría Ejecutiva de este Consejo en coordinación en lo que corresponda con la Tesorera del </w:t>
      </w:r>
      <w:r w:rsidR="00B32DA5" w:rsidRPr="00BA73A9">
        <w:rPr>
          <w:rFonts w:asciiTheme="majorHAnsi" w:eastAsia="Batang" w:hAnsiTheme="majorHAnsi" w:cstheme="majorHAnsi"/>
          <w:i/>
        </w:rPr>
        <w:lastRenderedPageBreak/>
        <w:t>Poder Judicial del Estado, quedando enterados la Tesorera y el Contralor del Poder Judicial del Estado, para los efectos legales correspondientes. Comuníquesele formalmente este acuerdo a la Subdirectora de Recursos Humanos y Materiales de la Secretaría Ejecutiva, así como a la encargada de la Dirección Jurídica del Tribunal Superior de Justicia, para los efectos legales correspondientes.</w:t>
      </w:r>
      <w:r w:rsidR="00B32DA5" w:rsidRPr="00BA73A9">
        <w:rPr>
          <w:rFonts w:asciiTheme="majorHAnsi" w:eastAsia="Batang" w:hAnsiTheme="majorHAnsi" w:cstheme="majorHAnsi"/>
        </w:rPr>
        <w:t xml:space="preserve"> </w:t>
      </w:r>
      <w:bookmarkEnd w:id="6"/>
      <w:r w:rsidR="00B32DA5" w:rsidRPr="00220A51">
        <w:rPr>
          <w:rFonts w:asciiTheme="majorHAnsi" w:eastAsia="Batang" w:hAnsiTheme="majorHAnsi" w:cstheme="majorHAnsi"/>
          <w:u w:val="single"/>
        </w:rPr>
        <w:t xml:space="preserve">APROBADO </w:t>
      </w:r>
      <w:r w:rsidR="00220A51" w:rsidRPr="00220A51">
        <w:rPr>
          <w:rFonts w:asciiTheme="majorHAnsi" w:eastAsia="Batang" w:hAnsiTheme="majorHAnsi" w:cstheme="majorHAnsi"/>
          <w:u w:val="single"/>
        </w:rPr>
        <w:t>POR UNANIMIDAD</w:t>
      </w:r>
      <w:r w:rsidR="00DB29D4" w:rsidRPr="00220A51">
        <w:rPr>
          <w:rFonts w:asciiTheme="majorHAnsi" w:eastAsia="Batang" w:hAnsiTheme="majorHAnsi" w:cstheme="majorHAnsi"/>
          <w:u w:val="single"/>
        </w:rPr>
        <w:t xml:space="preserve"> DE </w:t>
      </w:r>
      <w:r w:rsidR="00B32DA5" w:rsidRPr="00220A51">
        <w:rPr>
          <w:rFonts w:asciiTheme="majorHAnsi" w:eastAsia="Batang" w:hAnsiTheme="majorHAnsi" w:cstheme="majorHAnsi"/>
          <w:u w:val="single"/>
        </w:rPr>
        <w:t xml:space="preserve">VOTOS. </w:t>
      </w:r>
      <w:r w:rsidR="00220A51">
        <w:rPr>
          <w:rFonts w:asciiTheme="majorHAnsi" w:eastAsia="Batang" w:hAnsiTheme="majorHAnsi" w:cstheme="majorHAnsi"/>
        </w:rPr>
        <w:t xml:space="preserve">- - - - - - - - - - - - - - - - - - - - - - - - - - - - - - - - - - - - - - - - - - - </w:t>
      </w:r>
      <w:r w:rsidR="00D7160D">
        <w:rPr>
          <w:rFonts w:asciiTheme="majorHAnsi" w:eastAsia="Batang" w:hAnsiTheme="majorHAnsi" w:cstheme="majorHAnsi"/>
        </w:rPr>
        <w:t xml:space="preserve"> </w:t>
      </w:r>
      <w:r w:rsidR="00220A51">
        <w:rPr>
          <w:rFonts w:asciiTheme="majorHAnsi" w:eastAsia="Batang" w:hAnsiTheme="majorHAnsi" w:cstheme="majorHAnsi"/>
        </w:rPr>
        <w:t xml:space="preserve"> </w:t>
      </w:r>
    </w:p>
    <w:p w:rsidR="0038698F" w:rsidRPr="00BA73A9" w:rsidRDefault="00535AD6" w:rsidP="00BA73A9">
      <w:pPr>
        <w:spacing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>Siend</w:t>
      </w:r>
      <w:r w:rsidR="000550A2" w:rsidRPr="00BA73A9">
        <w:rPr>
          <w:rFonts w:asciiTheme="majorHAnsi" w:hAnsiTheme="majorHAnsi" w:cstheme="majorHAnsi"/>
        </w:rPr>
        <w:t>o las</w:t>
      </w:r>
      <w:r w:rsidR="006D5C09" w:rsidRPr="00BA73A9">
        <w:rPr>
          <w:rFonts w:asciiTheme="majorHAnsi" w:hAnsiTheme="majorHAnsi" w:cstheme="majorHAnsi"/>
        </w:rPr>
        <w:t xml:space="preserve"> </w:t>
      </w:r>
      <w:r w:rsidR="00DB29D4">
        <w:rPr>
          <w:rFonts w:asciiTheme="majorHAnsi" w:hAnsiTheme="majorHAnsi" w:cstheme="majorHAnsi"/>
        </w:rPr>
        <w:t>doce</w:t>
      </w:r>
      <w:r w:rsidR="006D5C09" w:rsidRPr="00BA73A9">
        <w:rPr>
          <w:rFonts w:asciiTheme="majorHAnsi" w:hAnsiTheme="majorHAnsi" w:cstheme="majorHAnsi"/>
        </w:rPr>
        <w:t xml:space="preserve"> </w:t>
      </w:r>
      <w:r w:rsidR="00A93F65" w:rsidRPr="00BA73A9">
        <w:rPr>
          <w:rFonts w:asciiTheme="majorHAnsi" w:hAnsiTheme="majorHAnsi" w:cstheme="majorHAnsi"/>
        </w:rPr>
        <w:t>horas</w:t>
      </w:r>
      <w:r w:rsidR="00DB29D4">
        <w:rPr>
          <w:rFonts w:asciiTheme="majorHAnsi" w:hAnsiTheme="majorHAnsi" w:cstheme="majorHAnsi"/>
        </w:rPr>
        <w:t xml:space="preserve"> con cincuenta y dos minutos</w:t>
      </w:r>
      <w:r w:rsidR="00FB49A4" w:rsidRPr="00BA73A9">
        <w:rPr>
          <w:rFonts w:asciiTheme="majorHAnsi" w:hAnsiTheme="majorHAnsi" w:cstheme="majorHAnsi"/>
        </w:rPr>
        <w:t xml:space="preserve"> </w:t>
      </w:r>
      <w:r w:rsidR="00A93F65" w:rsidRPr="00BA73A9">
        <w:rPr>
          <w:rFonts w:asciiTheme="majorHAnsi" w:hAnsiTheme="majorHAnsi" w:cstheme="majorHAnsi"/>
        </w:rPr>
        <w:t>del</w:t>
      </w:r>
      <w:r w:rsidR="000550A2" w:rsidRPr="00BA73A9">
        <w:rPr>
          <w:rFonts w:asciiTheme="majorHAnsi" w:hAnsiTheme="majorHAnsi" w:cstheme="majorHAnsi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BA73A9">
        <w:rPr>
          <w:rFonts w:asciiTheme="majorHAnsi" w:hAnsiTheme="majorHAnsi" w:cstheme="majorHAnsi"/>
        </w:rPr>
        <w:t>,</w:t>
      </w:r>
      <w:r w:rsidR="000550A2" w:rsidRPr="00BA73A9">
        <w:rPr>
          <w:rFonts w:asciiTheme="majorHAnsi" w:hAnsiTheme="majorHAnsi" w:cstheme="majorHAnsi"/>
        </w:rPr>
        <w:t xml:space="preserve"> levantándose la presente acta</w:t>
      </w:r>
      <w:r w:rsidR="001E3CCC" w:rsidRPr="00BA73A9">
        <w:rPr>
          <w:rFonts w:asciiTheme="majorHAnsi" w:hAnsiTheme="majorHAnsi" w:cstheme="majorHAnsi"/>
        </w:rPr>
        <w:t>,</w:t>
      </w:r>
      <w:r w:rsidR="000550A2" w:rsidRPr="00BA73A9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BA73A9">
        <w:rPr>
          <w:rFonts w:asciiTheme="majorHAnsi" w:hAnsiTheme="majorHAnsi" w:cstheme="majorHAnsi"/>
        </w:rPr>
        <w:t>L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Secretari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Ejecutiv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del Consejo, </w:t>
      </w:r>
      <w:r w:rsidR="00654F76" w:rsidRPr="00BA73A9">
        <w:rPr>
          <w:rFonts w:asciiTheme="majorHAnsi" w:hAnsiTheme="majorHAnsi" w:cstheme="majorHAnsi"/>
        </w:rPr>
        <w:t xml:space="preserve">Licenciada Georgette </w:t>
      </w:r>
      <w:r w:rsidR="00006656" w:rsidRPr="00BA73A9">
        <w:rPr>
          <w:rFonts w:asciiTheme="majorHAnsi" w:hAnsiTheme="majorHAnsi" w:cstheme="majorHAnsi"/>
        </w:rPr>
        <w:t xml:space="preserve">Alejandra </w:t>
      </w:r>
      <w:r w:rsidR="00654F76" w:rsidRPr="00BA73A9">
        <w:rPr>
          <w:rFonts w:asciiTheme="majorHAnsi" w:hAnsiTheme="majorHAnsi" w:cstheme="majorHAnsi"/>
        </w:rPr>
        <w:t>Pointelin González</w:t>
      </w:r>
      <w:r w:rsidR="000550A2" w:rsidRPr="00BA73A9">
        <w:rPr>
          <w:rFonts w:asciiTheme="majorHAnsi" w:hAnsiTheme="majorHAnsi" w:cstheme="majorHAnsi"/>
        </w:rPr>
        <w:t xml:space="preserve">. Doy fe. </w:t>
      </w:r>
      <w:r w:rsidR="00594BFB" w:rsidRPr="00BA73A9">
        <w:rPr>
          <w:rFonts w:asciiTheme="majorHAnsi" w:hAnsiTheme="majorHAnsi" w:cstheme="majorHAnsi"/>
        </w:rPr>
        <w:t xml:space="preserve"> - - -- - - - - - - - - - - - - - - - - - - - - - - - - - - - - - - - - - - - - - - - - - - - - - - - - - - - - - - - - - </w:t>
      </w:r>
    </w:p>
    <w:p w:rsidR="008037EE" w:rsidRPr="00BA73A9" w:rsidRDefault="008037EE" w:rsidP="00BA73A9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7" w:name="_Hlk478557854"/>
      <w:r w:rsidRPr="00BA73A9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BA73A9">
        <w:rPr>
          <w:rFonts w:asciiTheme="majorHAnsi" w:hAnsiTheme="majorHAnsi" w:cstheme="majorHAnsi"/>
          <w:b/>
          <w:sz w:val="22"/>
          <w:szCs w:val="22"/>
        </w:rPr>
        <w:t>:</w:t>
      </w:r>
      <w:r w:rsidRPr="00BA73A9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7"/>
      <w:r w:rsidR="00584355" w:rsidRPr="00BA73A9">
        <w:rPr>
          <w:rFonts w:asciiTheme="majorHAnsi" w:hAnsiTheme="majorHAnsi" w:cstheme="majorHAnsi"/>
          <w:b/>
          <w:sz w:val="22"/>
          <w:szCs w:val="22"/>
        </w:rPr>
        <w:t>- - - - -</w:t>
      </w:r>
    </w:p>
    <w:p w:rsidR="003B591D" w:rsidRDefault="003B591D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p w:rsidR="00D71A60" w:rsidRPr="00BA73A9" w:rsidRDefault="00D71A60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BA73A9" w:rsidTr="006D58C3">
        <w:tc>
          <w:tcPr>
            <w:tcW w:w="3467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Dr. Héctor Maldonado Bonilla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Magistrado </w:t>
            </w:r>
            <w:proofErr w:type="gramStart"/>
            <w:r w:rsidRPr="00BA73A9">
              <w:rPr>
                <w:rFonts w:asciiTheme="majorHAnsi" w:hAnsiTheme="majorHAnsi" w:cstheme="majorHAnsi"/>
              </w:rPr>
              <w:t>Presidente</w:t>
            </w:r>
            <w:proofErr w:type="gramEnd"/>
            <w:r w:rsidRPr="00BA73A9">
              <w:rPr>
                <w:rFonts w:asciiTheme="majorHAnsi" w:hAnsiTheme="majorHAnsi" w:cstheme="majorHAnsi"/>
              </w:rPr>
              <w:t xml:space="preserve"> del Consejo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Lic. Martha Zenteno Ramírez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113604" w:rsidRPr="00BA73A9" w:rsidTr="006D58C3">
        <w:trPr>
          <w:trHeight w:val="317"/>
        </w:trPr>
        <w:tc>
          <w:tcPr>
            <w:tcW w:w="3315" w:type="dxa"/>
          </w:tcPr>
          <w:p w:rsidR="006D58C3" w:rsidRPr="00BA73A9" w:rsidRDefault="006D58C3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Default="006D58C3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D71A60" w:rsidRPr="00BA73A9" w:rsidRDefault="00D71A60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74" w:type="dxa"/>
            <w:gridSpan w:val="5"/>
          </w:tcPr>
          <w:p w:rsidR="00D92349" w:rsidRPr="00BA73A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3604" w:rsidRPr="00BA73A9" w:rsidTr="006D58C3">
        <w:trPr>
          <w:trHeight w:val="317"/>
        </w:trPr>
        <w:tc>
          <w:tcPr>
            <w:tcW w:w="3467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Lic. Leticia Caballero Muñoz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Lic. Álvaro García Moreno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Integrante del Consejo de la Judicatura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del Estado de Tlaxcala  </w:t>
            </w:r>
          </w:p>
        </w:tc>
      </w:tr>
      <w:tr w:rsidR="00113604" w:rsidRPr="00BA73A9" w:rsidTr="006D58C3">
        <w:trPr>
          <w:trHeight w:val="317"/>
        </w:trPr>
        <w:tc>
          <w:tcPr>
            <w:tcW w:w="3467" w:type="dxa"/>
            <w:gridSpan w:val="2"/>
          </w:tcPr>
          <w:p w:rsidR="00D92349" w:rsidRDefault="00D92349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ab/>
            </w:r>
          </w:p>
          <w:p w:rsidR="00D71A60" w:rsidRDefault="00D71A60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71A60" w:rsidRPr="00BA73A9" w:rsidRDefault="00D71A60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3604" w:rsidRPr="00BA73A9" w:rsidTr="006D58C3">
        <w:trPr>
          <w:trHeight w:val="317"/>
        </w:trPr>
        <w:tc>
          <w:tcPr>
            <w:tcW w:w="3633" w:type="dxa"/>
            <w:gridSpan w:val="3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Dra. Mildred Murbartián Aguilar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Lic. Noé Cuecuecha Rugerio 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Contralor del Poder Judicial del Estado</w:t>
            </w:r>
          </w:p>
        </w:tc>
      </w:tr>
      <w:tr w:rsidR="00113604" w:rsidRPr="00BA73A9" w:rsidTr="006D58C3">
        <w:trPr>
          <w:trHeight w:val="2417"/>
        </w:trPr>
        <w:tc>
          <w:tcPr>
            <w:tcW w:w="3633" w:type="dxa"/>
            <w:gridSpan w:val="3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bookmarkStart w:id="8" w:name="_GoBack" w:colFirst="1" w:colLast="1"/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71A60" w:rsidRPr="00BA73A9" w:rsidRDefault="00D71A60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BA73A9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C.P. </w:t>
            </w:r>
            <w:r w:rsidR="00F9175B">
              <w:rPr>
                <w:rFonts w:asciiTheme="majorHAnsi" w:hAnsiTheme="majorHAnsi" w:cstheme="majorHAnsi"/>
              </w:rPr>
              <w:t xml:space="preserve">Lilian </w:t>
            </w:r>
            <w:proofErr w:type="gramStart"/>
            <w:r w:rsidR="00F9175B">
              <w:rPr>
                <w:rFonts w:asciiTheme="majorHAnsi" w:hAnsiTheme="majorHAnsi" w:cstheme="majorHAnsi"/>
              </w:rPr>
              <w:t>Rivera</w:t>
            </w:r>
            <w:r w:rsidRPr="00BA73A9">
              <w:rPr>
                <w:rFonts w:asciiTheme="majorHAnsi" w:hAnsiTheme="majorHAnsi" w:cstheme="majorHAnsi"/>
              </w:rPr>
              <w:t xml:space="preserve"> </w:t>
            </w:r>
            <w:r w:rsidR="0036750C">
              <w:rPr>
                <w:rFonts w:asciiTheme="majorHAnsi" w:hAnsiTheme="majorHAnsi" w:cstheme="majorHAnsi"/>
              </w:rPr>
              <w:t xml:space="preserve"> </w:t>
            </w:r>
            <w:r w:rsidR="0036750C">
              <w:rPr>
                <w:rFonts w:asciiTheme="majorHAnsi" w:hAnsiTheme="majorHAnsi" w:cstheme="majorHAnsi"/>
              </w:rPr>
              <w:t>Nava</w:t>
            </w:r>
            <w:proofErr w:type="gramEnd"/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Tesorer</w:t>
            </w:r>
            <w:r w:rsidR="00F9175B">
              <w:rPr>
                <w:rFonts w:asciiTheme="majorHAnsi" w:hAnsiTheme="majorHAnsi" w:cstheme="majorHAnsi"/>
              </w:rPr>
              <w:t>a</w:t>
            </w:r>
            <w:r w:rsidRPr="00BA73A9">
              <w:rPr>
                <w:rFonts w:asciiTheme="majorHAnsi" w:hAnsiTheme="majorHAnsi" w:cstheme="majorHAnsi"/>
              </w:rPr>
              <w:t xml:space="preserve"> del Poder Judicial del Estado</w:t>
            </w:r>
          </w:p>
        </w:tc>
        <w:tc>
          <w:tcPr>
            <w:tcW w:w="7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BA73A9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71A60" w:rsidRPr="00BA73A9" w:rsidRDefault="00D71A60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Lic. Georgette Alejandra </w:t>
            </w:r>
            <w:proofErr w:type="spellStart"/>
            <w:r w:rsidRPr="00BA73A9">
              <w:rPr>
                <w:rFonts w:asciiTheme="majorHAnsi" w:hAnsiTheme="majorHAnsi" w:cstheme="majorHAnsi"/>
              </w:rPr>
              <w:t>Pointelin</w:t>
            </w:r>
            <w:proofErr w:type="spellEnd"/>
            <w:r w:rsidRPr="00BA73A9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BA73A9">
              <w:rPr>
                <w:rFonts w:asciiTheme="majorHAnsi" w:hAnsiTheme="majorHAnsi" w:cstheme="majorHAnsi"/>
              </w:rPr>
              <w:t>González  Secretaria</w:t>
            </w:r>
            <w:proofErr w:type="gramEnd"/>
            <w:r w:rsidRPr="00BA73A9">
              <w:rPr>
                <w:rFonts w:asciiTheme="majorHAnsi" w:hAnsiTheme="majorHAnsi" w:cstheme="majorHAnsi"/>
              </w:rPr>
              <w:t xml:space="preserve"> Ejecutiva del Consejo de la Judicatura del Estado de Tlaxcala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 </w:t>
            </w:r>
          </w:p>
        </w:tc>
      </w:tr>
      <w:bookmarkEnd w:id="8"/>
    </w:tbl>
    <w:p w:rsidR="003478F0" w:rsidRPr="00BA73A9" w:rsidRDefault="003478F0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BA73A9" w:rsidSect="003B591D">
      <w:headerReference w:type="default" r:id="rId8"/>
      <w:footerReference w:type="default" r:id="rId9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CF" w:rsidRDefault="00C20DCF" w:rsidP="00F26630">
      <w:pPr>
        <w:spacing w:after="0" w:line="240" w:lineRule="auto"/>
      </w:pPr>
      <w:r>
        <w:separator/>
      </w:r>
    </w:p>
  </w:endnote>
  <w:endnote w:type="continuationSeparator" w:id="0">
    <w:p w:rsidR="00C20DCF" w:rsidRDefault="00C20DCF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7369"/>
      <w:docPartObj>
        <w:docPartGallery w:val="Page Numbers (Bottom of Page)"/>
        <w:docPartUnique/>
      </w:docPartObj>
    </w:sdtPr>
    <w:sdtEndPr/>
    <w:sdtContent>
      <w:p w:rsidR="00B716DA" w:rsidRDefault="00B716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716DA" w:rsidRDefault="00B71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CF" w:rsidRDefault="00C20DCF" w:rsidP="00F26630">
      <w:pPr>
        <w:spacing w:after="0" w:line="240" w:lineRule="auto"/>
      </w:pPr>
      <w:r>
        <w:separator/>
      </w:r>
    </w:p>
  </w:footnote>
  <w:footnote w:type="continuationSeparator" w:id="0">
    <w:p w:rsidR="00C20DCF" w:rsidRDefault="00C20DCF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D" w:rsidRDefault="003B591D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F0D97" wp14:editId="2AE9521E">
          <wp:simplePos x="0" y="0"/>
          <wp:positionH relativeFrom="column">
            <wp:posOffset>-1811327</wp:posOffset>
          </wp:positionH>
          <wp:positionV relativeFrom="page">
            <wp:posOffset>-4708</wp:posOffset>
          </wp:positionV>
          <wp:extent cx="7767320" cy="13431691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FAE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8152F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7D2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175D7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A6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452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706E7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F7B590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0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7"/>
  </w:num>
  <w:num w:numId="10">
    <w:abstractNumId w:val="24"/>
  </w:num>
  <w:num w:numId="11">
    <w:abstractNumId w:val="13"/>
  </w:num>
  <w:num w:numId="12">
    <w:abstractNumId w:val="25"/>
  </w:num>
  <w:num w:numId="13">
    <w:abstractNumId w:val="35"/>
  </w:num>
  <w:num w:numId="14">
    <w:abstractNumId w:val="16"/>
  </w:num>
  <w:num w:numId="15">
    <w:abstractNumId w:val="1"/>
  </w:num>
  <w:num w:numId="16">
    <w:abstractNumId w:val="46"/>
  </w:num>
  <w:num w:numId="17">
    <w:abstractNumId w:val="12"/>
  </w:num>
  <w:num w:numId="18">
    <w:abstractNumId w:val="37"/>
  </w:num>
  <w:num w:numId="19">
    <w:abstractNumId w:val="34"/>
  </w:num>
  <w:num w:numId="20">
    <w:abstractNumId w:val="27"/>
  </w:num>
  <w:num w:numId="21">
    <w:abstractNumId w:val="38"/>
  </w:num>
  <w:num w:numId="22">
    <w:abstractNumId w:val="11"/>
  </w:num>
  <w:num w:numId="23">
    <w:abstractNumId w:val="7"/>
  </w:num>
  <w:num w:numId="24">
    <w:abstractNumId w:val="33"/>
  </w:num>
  <w:num w:numId="25">
    <w:abstractNumId w:val="36"/>
  </w:num>
  <w:num w:numId="26">
    <w:abstractNumId w:val="42"/>
  </w:num>
  <w:num w:numId="27">
    <w:abstractNumId w:val="28"/>
  </w:num>
  <w:num w:numId="28">
    <w:abstractNumId w:val="31"/>
  </w:num>
  <w:num w:numId="29">
    <w:abstractNumId w:val="8"/>
  </w:num>
  <w:num w:numId="30">
    <w:abstractNumId w:val="20"/>
  </w:num>
  <w:num w:numId="31">
    <w:abstractNumId w:val="41"/>
  </w:num>
  <w:num w:numId="32">
    <w:abstractNumId w:val="5"/>
  </w:num>
  <w:num w:numId="33">
    <w:abstractNumId w:val="19"/>
  </w:num>
  <w:num w:numId="34">
    <w:abstractNumId w:val="9"/>
  </w:num>
  <w:num w:numId="35">
    <w:abstractNumId w:val="47"/>
  </w:num>
  <w:num w:numId="36">
    <w:abstractNumId w:val="23"/>
  </w:num>
  <w:num w:numId="37">
    <w:abstractNumId w:val="48"/>
  </w:num>
  <w:num w:numId="38">
    <w:abstractNumId w:val="45"/>
  </w:num>
  <w:num w:numId="39">
    <w:abstractNumId w:val="40"/>
  </w:num>
  <w:num w:numId="40">
    <w:abstractNumId w:val="30"/>
  </w:num>
  <w:num w:numId="41">
    <w:abstractNumId w:val="4"/>
  </w:num>
  <w:num w:numId="42">
    <w:abstractNumId w:val="14"/>
  </w:num>
  <w:num w:numId="43">
    <w:abstractNumId w:val="6"/>
  </w:num>
  <w:num w:numId="44">
    <w:abstractNumId w:val="3"/>
  </w:num>
  <w:num w:numId="45">
    <w:abstractNumId w:val="22"/>
  </w:num>
  <w:num w:numId="46">
    <w:abstractNumId w:val="26"/>
  </w:num>
  <w:num w:numId="47">
    <w:abstractNumId w:val="10"/>
  </w:num>
  <w:num w:numId="48">
    <w:abstractNumId w:val="49"/>
  </w:num>
  <w:num w:numId="49">
    <w:abstractNumId w:val="1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62A"/>
    <w:rsid w:val="00031CD2"/>
    <w:rsid w:val="0003209B"/>
    <w:rsid w:val="000320BC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0ACA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2AAD"/>
    <w:rsid w:val="00073154"/>
    <w:rsid w:val="000744B5"/>
    <w:rsid w:val="0007718D"/>
    <w:rsid w:val="00077790"/>
    <w:rsid w:val="00077989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6726"/>
    <w:rsid w:val="000B733A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0EF"/>
    <w:rsid w:val="001021EF"/>
    <w:rsid w:val="00102D91"/>
    <w:rsid w:val="00104D38"/>
    <w:rsid w:val="00110EBB"/>
    <w:rsid w:val="0011167F"/>
    <w:rsid w:val="00112B3B"/>
    <w:rsid w:val="00113604"/>
    <w:rsid w:val="00113777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955"/>
    <w:rsid w:val="00135011"/>
    <w:rsid w:val="0013512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5696"/>
    <w:rsid w:val="00147403"/>
    <w:rsid w:val="001515D7"/>
    <w:rsid w:val="001517A5"/>
    <w:rsid w:val="00152281"/>
    <w:rsid w:val="00154863"/>
    <w:rsid w:val="001568CF"/>
    <w:rsid w:val="00157C60"/>
    <w:rsid w:val="00157F9A"/>
    <w:rsid w:val="00160F19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2B8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0EC6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2F2"/>
    <w:rsid w:val="001E0CE2"/>
    <w:rsid w:val="001E1940"/>
    <w:rsid w:val="001E2721"/>
    <w:rsid w:val="001E2C16"/>
    <w:rsid w:val="001E2DBA"/>
    <w:rsid w:val="001E3566"/>
    <w:rsid w:val="001E3CCC"/>
    <w:rsid w:val="001E48FD"/>
    <w:rsid w:val="001E6722"/>
    <w:rsid w:val="001E6982"/>
    <w:rsid w:val="001E69E3"/>
    <w:rsid w:val="001E6FDF"/>
    <w:rsid w:val="001E73B8"/>
    <w:rsid w:val="001E7938"/>
    <w:rsid w:val="001F04B0"/>
    <w:rsid w:val="001F14B2"/>
    <w:rsid w:val="001F27BA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0A51"/>
    <w:rsid w:val="00221D00"/>
    <w:rsid w:val="00222D8E"/>
    <w:rsid w:val="00224041"/>
    <w:rsid w:val="00224381"/>
    <w:rsid w:val="00226669"/>
    <w:rsid w:val="0022690A"/>
    <w:rsid w:val="00226A7C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C3E"/>
    <w:rsid w:val="00273D26"/>
    <w:rsid w:val="00275176"/>
    <w:rsid w:val="002753B2"/>
    <w:rsid w:val="00275A5A"/>
    <w:rsid w:val="00275B20"/>
    <w:rsid w:val="00275D9F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68B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2C2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07ED6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46FC"/>
    <w:rsid w:val="00364FD2"/>
    <w:rsid w:val="00365135"/>
    <w:rsid w:val="0036630C"/>
    <w:rsid w:val="003675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496E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0D3"/>
    <w:rsid w:val="003D584C"/>
    <w:rsid w:val="003D59E1"/>
    <w:rsid w:val="003D695C"/>
    <w:rsid w:val="003D74B1"/>
    <w:rsid w:val="003D7E24"/>
    <w:rsid w:val="003E0B85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6160"/>
    <w:rsid w:val="0040627D"/>
    <w:rsid w:val="004071BE"/>
    <w:rsid w:val="00410EF1"/>
    <w:rsid w:val="00411802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E12"/>
    <w:rsid w:val="00454CBB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4C3C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5A16"/>
    <w:rsid w:val="00587DA2"/>
    <w:rsid w:val="00593442"/>
    <w:rsid w:val="00594BFB"/>
    <w:rsid w:val="00594E5A"/>
    <w:rsid w:val="005951F9"/>
    <w:rsid w:val="0059586B"/>
    <w:rsid w:val="00596A52"/>
    <w:rsid w:val="005A3161"/>
    <w:rsid w:val="005A39D9"/>
    <w:rsid w:val="005A556B"/>
    <w:rsid w:val="005A558F"/>
    <w:rsid w:val="005A6141"/>
    <w:rsid w:val="005A63E2"/>
    <w:rsid w:val="005A7AED"/>
    <w:rsid w:val="005A7EB6"/>
    <w:rsid w:val="005B172F"/>
    <w:rsid w:val="005B200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2D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458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101"/>
    <w:rsid w:val="0069041A"/>
    <w:rsid w:val="006911C8"/>
    <w:rsid w:val="0069123D"/>
    <w:rsid w:val="00691A10"/>
    <w:rsid w:val="0069205E"/>
    <w:rsid w:val="00692C2A"/>
    <w:rsid w:val="00692DB9"/>
    <w:rsid w:val="00694AF5"/>
    <w:rsid w:val="00696444"/>
    <w:rsid w:val="00696D02"/>
    <w:rsid w:val="00697656"/>
    <w:rsid w:val="006A09B8"/>
    <w:rsid w:val="006A128A"/>
    <w:rsid w:val="006A14B3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87D"/>
    <w:rsid w:val="006B63FA"/>
    <w:rsid w:val="006B64A3"/>
    <w:rsid w:val="006B6C60"/>
    <w:rsid w:val="006B7240"/>
    <w:rsid w:val="006C15FD"/>
    <w:rsid w:val="006C18AB"/>
    <w:rsid w:val="006C4CF8"/>
    <w:rsid w:val="006C5634"/>
    <w:rsid w:val="006C5C93"/>
    <w:rsid w:val="006C6396"/>
    <w:rsid w:val="006D005E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4C2B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121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ACD"/>
    <w:rsid w:val="00813D3D"/>
    <w:rsid w:val="00814572"/>
    <w:rsid w:val="0081604B"/>
    <w:rsid w:val="008160B0"/>
    <w:rsid w:val="00817497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508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244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D06CB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6FA5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40A2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24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D7674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281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75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183B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2DA5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6DA"/>
    <w:rsid w:val="00B71983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A73A9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5865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64E"/>
    <w:rsid w:val="00C149F9"/>
    <w:rsid w:val="00C16054"/>
    <w:rsid w:val="00C170FA"/>
    <w:rsid w:val="00C20DCF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BBD"/>
    <w:rsid w:val="00C40A69"/>
    <w:rsid w:val="00C40A6C"/>
    <w:rsid w:val="00C412B1"/>
    <w:rsid w:val="00C41702"/>
    <w:rsid w:val="00C41A76"/>
    <w:rsid w:val="00C41DF5"/>
    <w:rsid w:val="00C44F50"/>
    <w:rsid w:val="00C45818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160D"/>
    <w:rsid w:val="00D71A60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71FD"/>
    <w:rsid w:val="00DA72AA"/>
    <w:rsid w:val="00DA7F0A"/>
    <w:rsid w:val="00DB1A31"/>
    <w:rsid w:val="00DB29D4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7477"/>
    <w:rsid w:val="00DC78A7"/>
    <w:rsid w:val="00DC7A3E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051"/>
    <w:rsid w:val="00DF51CF"/>
    <w:rsid w:val="00DF5707"/>
    <w:rsid w:val="00DF5E0E"/>
    <w:rsid w:val="00DF6EB7"/>
    <w:rsid w:val="00DF76F5"/>
    <w:rsid w:val="00DF7E52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6581"/>
    <w:rsid w:val="00E1718B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7F61"/>
    <w:rsid w:val="00E31592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47FC7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2EB0"/>
    <w:rsid w:val="00E8389C"/>
    <w:rsid w:val="00E83C12"/>
    <w:rsid w:val="00E8623D"/>
    <w:rsid w:val="00E86A9B"/>
    <w:rsid w:val="00E90366"/>
    <w:rsid w:val="00E91883"/>
    <w:rsid w:val="00E92B15"/>
    <w:rsid w:val="00E939B6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20C5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A40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0F44"/>
    <w:rsid w:val="00F228F2"/>
    <w:rsid w:val="00F23A8F"/>
    <w:rsid w:val="00F26630"/>
    <w:rsid w:val="00F26EE5"/>
    <w:rsid w:val="00F270DA"/>
    <w:rsid w:val="00F2771D"/>
    <w:rsid w:val="00F2792D"/>
    <w:rsid w:val="00F27C15"/>
    <w:rsid w:val="00F30704"/>
    <w:rsid w:val="00F31CE8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29E9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0B4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75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1043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BF3"/>
    <w:rsid w:val="00FE1CFF"/>
    <w:rsid w:val="00FE29A3"/>
    <w:rsid w:val="00FE47BA"/>
    <w:rsid w:val="00FE6459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1C8E-0C7B-4746-85BE-5C0012FA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2776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11</cp:revision>
  <cp:lastPrinted>2019-02-28T15:20:00Z</cp:lastPrinted>
  <dcterms:created xsi:type="dcterms:W3CDTF">2019-02-14T18:23:00Z</dcterms:created>
  <dcterms:modified xsi:type="dcterms:W3CDTF">2019-02-28T15:20:00Z</dcterms:modified>
</cp:coreProperties>
</file>