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24" w:rsidRDefault="003C3B24" w:rsidP="003C3B24">
      <w:pPr>
        <w:spacing w:after="0" w:line="480" w:lineRule="auto"/>
        <w:jc w:val="right"/>
        <w:rPr>
          <w:rFonts w:asciiTheme="minorHAnsi" w:hAnsiTheme="minorHAnsi" w:cstheme="minorHAnsi"/>
          <w:b/>
        </w:rPr>
      </w:pPr>
      <w:r>
        <w:rPr>
          <w:rFonts w:asciiTheme="minorHAnsi" w:hAnsiTheme="minorHAnsi" w:cstheme="minorHAnsi"/>
          <w:b/>
        </w:rPr>
        <w:t>ACTA NÚMERO: 38/2019</w:t>
      </w:r>
    </w:p>
    <w:p w:rsidR="003C3B24" w:rsidRDefault="003C3B24" w:rsidP="003C3B24">
      <w:pPr>
        <w:spacing w:line="480" w:lineRule="auto"/>
        <w:jc w:val="both"/>
        <w:rPr>
          <w:rFonts w:asciiTheme="minorHAnsi" w:eastAsia="Batang" w:hAnsiTheme="minorHAnsi" w:cstheme="minorHAnsi"/>
          <w:b/>
        </w:rPr>
      </w:pPr>
      <w:r>
        <w:rPr>
          <w:rFonts w:asciiTheme="minorHAnsi" w:hAnsiTheme="minorHAnsi" w:cstheme="minorHAnsi"/>
          <w:b/>
        </w:rPr>
        <w:t xml:space="preserve">ACTA DE SESIÓN EXTRAORDINARIA PRIVADA DEL CONSEJO DE LA JUDICATURA DEL ESTADO DE TLAXCALA, CELEBRADA A LAS ONCE HORAS CON TREINTA MINUTOS DEL DOS DE JULIO DEL AÑO DOS MIL DIECINUEVE, </w:t>
      </w:r>
      <w:bookmarkStart w:id="0" w:name="_Hlk505251924"/>
      <w:r>
        <w:rPr>
          <w:rFonts w:asciiTheme="minorHAnsi" w:eastAsia="Batang" w:hAnsiTheme="minorHAnsi" w:cstheme="minorHAnsi"/>
          <w:b/>
        </w:rPr>
        <w:t xml:space="preserve">EN LA SALA DE JUNTAS DE LA PRESIDENCIA DEL TRIBUNAL SUPERIOR DE JUSTICIA, CON SEDE EN CIUDAD JUDICIAL, SANTA ANITA HUILOAC, APIZACO, TLAXCALA, BAJO EL SIGUIENTE: </w:t>
      </w:r>
    </w:p>
    <w:p w:rsidR="003C3B24" w:rsidRDefault="003C3B24" w:rsidP="003C3B24">
      <w:pPr>
        <w:spacing w:line="480" w:lineRule="auto"/>
        <w:jc w:val="center"/>
        <w:rPr>
          <w:rFonts w:asciiTheme="minorHAnsi" w:hAnsiTheme="minorHAnsi" w:cstheme="minorHAnsi"/>
          <w:b/>
          <w:bCs/>
          <w:color w:val="000000"/>
        </w:rPr>
      </w:pPr>
      <w:bookmarkStart w:id="1" w:name="_Hlk9952917"/>
      <w:bookmarkEnd w:id="0"/>
      <w:r>
        <w:rPr>
          <w:rFonts w:asciiTheme="minorHAnsi" w:hAnsiTheme="minorHAnsi" w:cstheme="minorHAnsi"/>
          <w:b/>
          <w:bCs/>
          <w:color w:val="000000"/>
        </w:rPr>
        <w:t>ORDEN DEL DÍA:</w:t>
      </w:r>
    </w:p>
    <w:p w:rsidR="003C3B24" w:rsidRDefault="003C3B24" w:rsidP="003C3B24">
      <w:pPr>
        <w:pStyle w:val="NormalWeb"/>
        <w:numPr>
          <w:ilvl w:val="0"/>
          <w:numId w:val="34"/>
        </w:numPr>
        <w:spacing w:before="0" w:beforeAutospacing="0" w:after="0" w:afterAutospacing="0" w:line="480" w:lineRule="auto"/>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Verificación del quórum. - - - - - - - - - - - - - - - - - - - - - - - - - - - - - - - - - - - </w:t>
      </w:r>
    </w:p>
    <w:p w:rsidR="003C3B24" w:rsidRDefault="003C3B24" w:rsidP="003C3B24">
      <w:pPr>
        <w:pStyle w:val="NormalWeb"/>
        <w:numPr>
          <w:ilvl w:val="0"/>
          <w:numId w:val="34"/>
        </w:numPr>
        <w:spacing w:before="0" w:beforeAutospacing="0" w:after="0" w:afterAutospacing="0" w:line="480" w:lineRule="auto"/>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Aprobación del acta número 37/2019. - - - - - - - - - - - - - - - - - - - - - - - - </w:t>
      </w:r>
    </w:p>
    <w:p w:rsidR="003C3B24" w:rsidRDefault="003C3B24" w:rsidP="003C3B24">
      <w:pPr>
        <w:pStyle w:val="NormalWeb"/>
        <w:numPr>
          <w:ilvl w:val="0"/>
          <w:numId w:val="34"/>
        </w:numPr>
        <w:spacing w:before="0" w:beforeAutospacing="0" w:after="0" w:afterAutospacing="0" w:line="480" w:lineRule="auto"/>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Determinación de adscripción, readscripción y remoción de personal diverso del Poder Judicial del Estado. - - - - - - - - - - - - - - - - - - - - - - - - - </w:t>
      </w:r>
    </w:p>
    <w:bookmarkEnd w:id="1"/>
    <w:p w:rsidR="003C3B24" w:rsidRDefault="003C3B24" w:rsidP="003C3B24">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sz w:val="22"/>
          <w:szCs w:val="22"/>
        </w:rPr>
        <w:t xml:space="preserve">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3B24" w:rsidTr="003C3B24">
        <w:tc>
          <w:tcPr>
            <w:tcW w:w="6141"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Magistrado Mario Antonio de Jesús Jiménez Martínez, </w:t>
            </w:r>
            <w:proofErr w:type="gramStart"/>
            <w:r>
              <w:rPr>
                <w:rFonts w:asciiTheme="minorHAnsi" w:hAnsiTheme="minorHAnsi" w:cstheme="minorHAnsi"/>
              </w:rPr>
              <w:t>Presidente</w:t>
            </w:r>
            <w:proofErr w:type="gramEnd"/>
            <w:r>
              <w:rPr>
                <w:rFonts w:asciiTheme="minorHAnsi" w:hAnsiTheme="minorHAnsi" w:cstheme="minorHAnsi"/>
              </w:rPr>
              <w:t xml:space="preserve"> del Consejo de la Judicatura del Estado de Tlaxcala. - - - - - - - - - - - </w:t>
            </w:r>
          </w:p>
        </w:tc>
        <w:tc>
          <w:tcPr>
            <w:tcW w:w="1764"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 - - -- - - - - - - - - - </w:t>
            </w:r>
          </w:p>
          <w:p w:rsidR="003C3B24" w:rsidRDefault="003C3B24">
            <w:pPr>
              <w:spacing w:after="0" w:line="480" w:lineRule="auto"/>
              <w:jc w:val="both"/>
              <w:rPr>
                <w:rFonts w:asciiTheme="minorHAnsi" w:hAnsiTheme="minorHAnsi" w:cstheme="minorHAnsi"/>
              </w:rPr>
            </w:pPr>
            <w:r>
              <w:rPr>
                <w:rFonts w:asciiTheme="minorHAnsi" w:hAnsiTheme="minorHAnsi" w:cstheme="minorHAnsi"/>
              </w:rPr>
              <w:t>Presente- - - - - -</w:t>
            </w:r>
          </w:p>
        </w:tc>
      </w:tr>
      <w:tr w:rsidR="003C3B24" w:rsidTr="003C3B24">
        <w:tc>
          <w:tcPr>
            <w:tcW w:w="6141"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Licenciada Martha Zenteno Ramírez, integrante del Consejo de la Judicatura del Estado de Tlaxcala.  - - - - -  - - - - - - -  - - - - - - - - -     </w:t>
            </w:r>
          </w:p>
        </w:tc>
        <w:tc>
          <w:tcPr>
            <w:tcW w:w="1764"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 - - -- - - - - - - - - - </w:t>
            </w:r>
          </w:p>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Presente   - - - - - </w:t>
            </w:r>
          </w:p>
        </w:tc>
      </w:tr>
      <w:tr w:rsidR="003C3B24" w:rsidTr="003C3B24">
        <w:trPr>
          <w:trHeight w:val="968"/>
        </w:trPr>
        <w:tc>
          <w:tcPr>
            <w:tcW w:w="6141"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Licenciada Leticia Caballero Muñoz, integrante del Consejo de la Judicatura del Estado de Tlaxcala.  - - - - - - - - - - - - - - - - - - - - - - -</w:t>
            </w:r>
          </w:p>
        </w:tc>
        <w:tc>
          <w:tcPr>
            <w:tcW w:w="1764"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 - - -- - - - - - - - - - </w:t>
            </w:r>
          </w:p>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Presente- - - - - - </w:t>
            </w:r>
          </w:p>
        </w:tc>
      </w:tr>
      <w:tr w:rsidR="003C3B24" w:rsidTr="003C3B24">
        <w:tc>
          <w:tcPr>
            <w:tcW w:w="6141"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Licenciado Álvaro García Moreno, integrante del Consejo de la Judicatura del Estado de Tlaxcala.  - - - - - - - - - - - - - - - - - - - - - - - </w:t>
            </w:r>
          </w:p>
        </w:tc>
        <w:tc>
          <w:tcPr>
            <w:tcW w:w="1764"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 - - - - - - - - - - - - </w:t>
            </w:r>
          </w:p>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Presente - - - - - - </w:t>
            </w:r>
          </w:p>
        </w:tc>
      </w:tr>
      <w:tr w:rsidR="003C3B24" w:rsidTr="003C3B24">
        <w:tc>
          <w:tcPr>
            <w:tcW w:w="6141"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Doctora Mildred </w:t>
            </w:r>
            <w:proofErr w:type="spellStart"/>
            <w:r>
              <w:rPr>
                <w:rFonts w:asciiTheme="minorHAnsi" w:hAnsiTheme="minorHAnsi" w:cstheme="minorHAnsi"/>
              </w:rPr>
              <w:t>Murbartián</w:t>
            </w:r>
            <w:proofErr w:type="spellEnd"/>
            <w:r>
              <w:rPr>
                <w:rFonts w:asciiTheme="minorHAnsi" w:hAnsiTheme="minorHAnsi" w:cstheme="minorHAnsi"/>
              </w:rPr>
              <w:t xml:space="preserve"> Aguilar, integrante del Consejo de la Judicatura del Estado de Tlaxcala. - - - - - - - - - - - - - - - - - - - - - -      </w:t>
            </w:r>
          </w:p>
        </w:tc>
        <w:tc>
          <w:tcPr>
            <w:tcW w:w="1764" w:type="dxa"/>
            <w:hideMark/>
          </w:tcPr>
          <w:p w:rsidR="003C3B24" w:rsidRDefault="003C3B24">
            <w:pPr>
              <w:spacing w:after="0" w:line="480" w:lineRule="auto"/>
              <w:jc w:val="both"/>
              <w:rPr>
                <w:rFonts w:asciiTheme="minorHAnsi" w:hAnsiTheme="minorHAnsi" w:cstheme="minorHAnsi"/>
              </w:rPr>
            </w:pPr>
            <w:r>
              <w:rPr>
                <w:rFonts w:asciiTheme="minorHAnsi" w:hAnsiTheme="minorHAnsi" w:cstheme="minorHAnsi"/>
              </w:rPr>
              <w:t xml:space="preserve">- - - - - - - - - - - - - Presente - - - - - - </w:t>
            </w:r>
          </w:p>
        </w:tc>
      </w:tr>
    </w:tbl>
    <w:p w:rsidR="003C3B24" w:rsidRDefault="003C3B24" w:rsidP="003C3B24">
      <w:pPr>
        <w:spacing w:after="0" w:line="480" w:lineRule="auto"/>
        <w:jc w:val="both"/>
        <w:rPr>
          <w:rFonts w:asciiTheme="minorHAnsi" w:hAnsiTheme="minorHAnsi" w:cstheme="minorHAnsi"/>
        </w:rPr>
      </w:pPr>
      <w:r>
        <w:rPr>
          <w:rFonts w:asciiTheme="minorHAnsi" w:hAnsiTheme="minorHAnsi" w:cstheme="minorHAnsi"/>
        </w:rPr>
        <w:t xml:space="preserve">DECLARATORIA DE QUÓRUM. </w:t>
      </w:r>
    </w:p>
    <w:p w:rsidR="003C3B24" w:rsidRDefault="003C3B24" w:rsidP="003C3B24">
      <w:pPr>
        <w:spacing w:after="0" w:line="480" w:lineRule="auto"/>
        <w:jc w:val="both"/>
        <w:rPr>
          <w:rFonts w:asciiTheme="minorHAnsi" w:hAnsiTheme="minorHAnsi" w:cstheme="minorHAnsi"/>
        </w:rPr>
      </w:pPr>
      <w:r>
        <w:rPr>
          <w:rFonts w:asciiTheme="minorHAnsi" w:hAnsiTheme="minorHAnsi" w:cstheme="minorHAnsi"/>
          <w:b/>
          <w:bCs/>
        </w:rPr>
        <w:t>En uso de la palabra, el Secretario Ejecutivo dijo</w:t>
      </w:r>
      <w:r>
        <w:rPr>
          <w:rFonts w:asciiTheme="minorHAnsi" w:hAnsiTheme="minorHAnsi" w:cstheme="minorHAnsi"/>
        </w:rPr>
        <w:t xml:space="preserve">: </w:t>
      </w:r>
      <w:proofErr w:type="gramStart"/>
      <w:r>
        <w:rPr>
          <w:rFonts w:asciiTheme="minorHAnsi" w:hAnsiTheme="minorHAnsi" w:cstheme="minorHAnsi"/>
        </w:rPr>
        <w:t>Presidente</w:t>
      </w:r>
      <w:proofErr w:type="gramEnd"/>
      <w:r>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Pr>
          <w:rFonts w:asciiTheme="minorHAnsi" w:hAnsiTheme="minorHAnsi" w:cstheme="minorHAnsi"/>
          <w:b/>
          <w:bCs/>
        </w:rPr>
        <w:t>En uso de la palabra, el Magistrado Presidente dijo</w:t>
      </w:r>
      <w:r>
        <w:rPr>
          <w:rFonts w:asciiTheme="minorHAnsi" w:hAnsiTheme="minorHAnsi" w:cstheme="minorHAnsi"/>
        </w:rPr>
        <w:t>: una vez escuchado el informe del Secretario Ejecutiv</w:t>
      </w:r>
      <w:r w:rsidR="00637300">
        <w:rPr>
          <w:rFonts w:asciiTheme="minorHAnsi" w:hAnsiTheme="minorHAnsi" w:cstheme="minorHAnsi"/>
        </w:rPr>
        <w:t>o</w:t>
      </w:r>
      <w:r>
        <w:rPr>
          <w:rFonts w:asciiTheme="minorHAnsi" w:hAnsiTheme="minorHAnsi" w:cstheme="minorHAnsi"/>
        </w:rPr>
        <w:t xml:space="preserve"> y en razón de que existe quórum legal, declaro abierta la presente sesión para que todos los acuerdos que se dicten, tengan la validez que en derecho les corresponde.  - - - - - - - - - - - - - - - -</w:t>
      </w:r>
    </w:p>
    <w:p w:rsidR="003C3B24" w:rsidRDefault="003C3B24" w:rsidP="003C3B24">
      <w:pPr>
        <w:spacing w:after="0" w:line="480" w:lineRule="auto"/>
        <w:jc w:val="both"/>
        <w:rPr>
          <w:rFonts w:asciiTheme="minorHAnsi" w:hAnsiTheme="minorHAnsi" w:cstheme="minorHAnsi"/>
        </w:rPr>
      </w:pPr>
    </w:p>
    <w:p w:rsidR="003C3B24" w:rsidRDefault="003C3B24" w:rsidP="003C3B24">
      <w:pPr>
        <w:spacing w:after="0" w:line="480" w:lineRule="auto"/>
        <w:jc w:val="both"/>
        <w:rPr>
          <w:rFonts w:asciiTheme="minorHAnsi" w:hAnsiTheme="minorHAnsi" w:cstheme="minorHAnsi"/>
        </w:rPr>
      </w:pPr>
    </w:p>
    <w:p w:rsidR="003C3B24" w:rsidRDefault="003C3B24" w:rsidP="003C3B24">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eastAsia="Batang" w:hAnsiTheme="minorHAnsi" w:cstheme="minorHAnsi"/>
          <w:b/>
          <w:sz w:val="22"/>
          <w:szCs w:val="22"/>
        </w:rPr>
        <w:lastRenderedPageBreak/>
        <w:t xml:space="preserve">ACUERDO II/38/2019. </w:t>
      </w:r>
      <w:r>
        <w:rPr>
          <w:rFonts w:asciiTheme="minorHAnsi" w:hAnsiTheme="minorHAnsi" w:cstheme="minorHAnsi"/>
          <w:b/>
          <w:bCs/>
          <w:sz w:val="22"/>
          <w:szCs w:val="22"/>
        </w:rPr>
        <w:t xml:space="preserve">Aprobación del acta número 37/2019. - - - - - - - - - - - - -  </w:t>
      </w:r>
    </w:p>
    <w:p w:rsidR="003C3B24" w:rsidRDefault="003C3B24" w:rsidP="003C3B24">
      <w:pPr>
        <w:pStyle w:val="NormalWeb"/>
        <w:spacing w:before="0" w:beforeAutospacing="0" w:after="0" w:afterAutospacing="0" w:line="480" w:lineRule="auto"/>
        <w:jc w:val="both"/>
        <w:rPr>
          <w:rFonts w:asciiTheme="minorHAnsi" w:eastAsia="Batang" w:hAnsiTheme="minorHAnsi" w:cstheme="minorHAnsi"/>
          <w:sz w:val="22"/>
          <w:szCs w:val="22"/>
        </w:rPr>
      </w:pPr>
      <w:r>
        <w:rPr>
          <w:rFonts w:asciiTheme="minorHAnsi" w:hAnsiTheme="minorHAnsi" w:cstheme="minorHAnsi"/>
          <w:i/>
          <w:sz w:val="22"/>
          <w:szCs w:val="22"/>
        </w:rPr>
        <w:t>E</w:t>
      </w:r>
      <w:r>
        <w:rPr>
          <w:rFonts w:asciiTheme="minorHAnsi" w:eastAsia="Batang" w:hAnsiTheme="minorHAnsi" w:cstheme="minorHAnsi"/>
          <w:i/>
          <w:sz w:val="22"/>
          <w:szCs w:val="22"/>
        </w:rPr>
        <w:t xml:space="preserve">n términos del </w:t>
      </w:r>
      <w:bookmarkStart w:id="2" w:name="_Hlk8302691"/>
      <w:r>
        <w:rPr>
          <w:rFonts w:asciiTheme="minorHAnsi" w:eastAsia="Batang" w:hAnsiTheme="minorHAnsi" w:cstheme="minorHAnsi"/>
          <w:i/>
          <w:sz w:val="22"/>
          <w:szCs w:val="22"/>
        </w:rPr>
        <w:t>artículo 18, fracción IV del Reglamento del Consejo de la Judicatura del Estado, se aprueba el acta número 37/2019</w:t>
      </w:r>
      <w:r>
        <w:rPr>
          <w:rFonts w:asciiTheme="minorHAnsi" w:hAnsiTheme="minorHAnsi" w:cstheme="minorHAnsi"/>
          <w:i/>
          <w:sz w:val="22"/>
          <w:szCs w:val="22"/>
        </w:rPr>
        <w:t>,</w:t>
      </w:r>
      <w:r>
        <w:rPr>
          <w:rFonts w:asciiTheme="minorHAnsi" w:eastAsia="Batang" w:hAnsiTheme="minorHAnsi" w:cstheme="minorHAnsi"/>
          <w:i/>
          <w:sz w:val="22"/>
          <w:szCs w:val="22"/>
        </w:rPr>
        <w:t xml:space="preserve"> se ordena al Secretario Ejecutivo recabar las firmas correspondientes.</w:t>
      </w:r>
      <w:r>
        <w:rPr>
          <w:rFonts w:asciiTheme="minorHAnsi" w:eastAsia="Batang" w:hAnsiTheme="minorHAnsi" w:cstheme="minorHAnsi"/>
          <w:sz w:val="22"/>
          <w:szCs w:val="22"/>
        </w:rPr>
        <w:t xml:space="preserve"> </w:t>
      </w:r>
      <w:r>
        <w:rPr>
          <w:rFonts w:asciiTheme="minorHAnsi" w:eastAsia="Batang" w:hAnsiTheme="minorHAnsi" w:cstheme="minorHAnsi"/>
          <w:sz w:val="22"/>
          <w:szCs w:val="22"/>
          <w:u w:val="single"/>
        </w:rPr>
        <w:t>APROBADO POR UNANIMIDAD DE VOTOS</w:t>
      </w:r>
      <w:r>
        <w:rPr>
          <w:rFonts w:asciiTheme="minorHAnsi" w:eastAsia="Batang" w:hAnsiTheme="minorHAnsi" w:cstheme="minorHAnsi"/>
          <w:sz w:val="22"/>
          <w:szCs w:val="22"/>
        </w:rPr>
        <w:t xml:space="preserve">. - - - - - - - - - - - - </w:t>
      </w:r>
    </w:p>
    <w:bookmarkEnd w:id="2"/>
    <w:p w:rsidR="003C3B24" w:rsidRDefault="003C3B24" w:rsidP="003C3B24">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eastAsia="Batang" w:hAnsiTheme="minorHAnsi" w:cstheme="minorHAnsi"/>
          <w:b/>
          <w:sz w:val="22"/>
          <w:szCs w:val="22"/>
        </w:rPr>
        <w:t xml:space="preserve">ACUERDO III/38/2019. </w:t>
      </w:r>
      <w:r>
        <w:rPr>
          <w:rFonts w:asciiTheme="minorHAnsi" w:hAnsiTheme="minorHAnsi" w:cstheme="minorHAnsi"/>
          <w:b/>
          <w:bCs/>
          <w:sz w:val="22"/>
          <w:szCs w:val="22"/>
        </w:rPr>
        <w:t xml:space="preserve">Determinación de adscripción, readscripción y remoción, de personal diverso del Poder Judicial del Estado. - - - - - - - - - - - - - - - - - - - </w:t>
      </w:r>
    </w:p>
    <w:p w:rsidR="003C3B24" w:rsidRDefault="003C3B24" w:rsidP="003C3B24">
      <w:pPr>
        <w:spacing w:line="480" w:lineRule="auto"/>
        <w:jc w:val="both"/>
        <w:rPr>
          <w:rFonts w:asciiTheme="minorHAnsi" w:eastAsia="Times New Roman" w:hAnsiTheme="minorHAnsi" w:cstheme="minorHAnsi"/>
          <w:iCs/>
          <w:color w:val="000000" w:themeColor="text1"/>
          <w:lang w:eastAsia="es-MX"/>
        </w:rPr>
      </w:pPr>
      <w:r>
        <w:rPr>
          <w:rFonts w:asciiTheme="minorHAnsi" w:hAnsiTheme="minorHAnsi" w:cstheme="minorHAnsi"/>
          <w:i/>
          <w:color w:val="000000" w:themeColor="text1"/>
        </w:rPr>
        <w:t>D</w:t>
      </w:r>
      <w:r>
        <w:rPr>
          <w:rFonts w:asciiTheme="minorHAnsi" w:eastAsia="Times New Roman" w:hAnsiTheme="minorHAnsi" w:cstheme="minorHAnsi"/>
          <w:i/>
          <w:iCs/>
          <w:color w:val="000000" w:themeColor="text1"/>
          <w:lang w:eastAsia="es-MX"/>
        </w:rPr>
        <w:t xml:space="preserve">ada cuenta con las propuestas de adscripción y readscripción de personal diverso del Poder Judicial, con fundamento en lo que establecen los artículos 61 y 68 fracción I de la Ley Orgánica del Poder Judicial se determinan las siguientes: </w:t>
      </w:r>
    </w:p>
    <w:p w:rsidR="003C3B24" w:rsidRDefault="003C3B24" w:rsidP="003C3B24">
      <w:pPr>
        <w:pStyle w:val="Sinespaciado"/>
        <w:numPr>
          <w:ilvl w:val="0"/>
          <w:numId w:val="42"/>
        </w:numPr>
        <w:tabs>
          <w:tab w:val="left" w:pos="1134"/>
        </w:tabs>
        <w:spacing w:line="480" w:lineRule="auto"/>
        <w:ind w:left="0" w:firstLine="709"/>
        <w:jc w:val="both"/>
        <w:rPr>
          <w:rFonts w:asciiTheme="minorHAnsi" w:hAnsiTheme="minorHAnsi" w:cstheme="minorHAnsi"/>
          <w:b/>
          <w:snapToGrid w:val="0"/>
        </w:rPr>
      </w:pPr>
      <w:r>
        <w:rPr>
          <w:rFonts w:asciiTheme="minorHAnsi" w:hAnsiTheme="minorHAnsi" w:cstheme="minorHAnsi"/>
          <w:b/>
          <w:bCs/>
          <w:color w:val="000000" w:themeColor="text1"/>
        </w:rPr>
        <w:t xml:space="preserve">ANÁLISIS Y DISCUSIÓN DEL OFICIO IEJ/1003/2019, DE FECHA VEINTIOCHO DE JUNIO DE DOS MIL DIECINUEVE, SUSCRITO POR LA DIRECTORA DEL INSTITUTO DE ESPECIALIZACIÓN JUDICIAL. </w:t>
      </w:r>
      <w:r>
        <w:rPr>
          <w:rFonts w:asciiTheme="minorHAnsi" w:hAnsiTheme="minorHAnsi" w:cstheme="minorHAnsi"/>
          <w:i/>
          <w:iCs/>
          <w:color w:val="000000" w:themeColor="text1"/>
        </w:rPr>
        <w:t>Dada cuenta con el oficio de referencia, como lo solicita, con fundamento en los artículos 61 y 68 fracción I de la Ley Orgánica del Poder Judicial del Estado, se readscribe a JONATHAN RAMÍREZ ROMERO, con su misma categoría y nivel, al Instituto de Especialización Judicial comisionado para efectos de desarrollar el proyecto de imagen solicitado, por el periodo comprendido del tres de julio al quince de agosto de dos mil diecinueve, regresando a su adscripción en la Unidad de Transparencia y de Protección de Datos Personales del Poder Judicial del Estado al vencimiento del plazo</w:t>
      </w:r>
      <w:r>
        <w:rPr>
          <w:rFonts w:asciiTheme="minorHAnsi" w:hAnsiTheme="minorHAnsi" w:cstheme="minorHAnsi"/>
          <w:i/>
          <w:iCs/>
          <w:color w:val="000000" w:themeColor="text1"/>
          <w:u w:val="single"/>
        </w:rPr>
        <w:t xml:space="preserve">. </w:t>
      </w:r>
      <w:r>
        <w:rPr>
          <w:rFonts w:asciiTheme="minorHAnsi" w:hAnsiTheme="minorHAnsi" w:cstheme="minorHAnsi"/>
          <w:color w:val="000000" w:themeColor="text1"/>
          <w:u w:val="single"/>
        </w:rPr>
        <w:t>APROBADO POR UNANIMIDAD DE VOTOS</w:t>
      </w:r>
      <w:r>
        <w:rPr>
          <w:rFonts w:asciiTheme="minorHAnsi" w:hAnsiTheme="minorHAnsi" w:cstheme="minorHAnsi"/>
          <w:color w:val="000000" w:themeColor="text1"/>
        </w:rPr>
        <w:t xml:space="preserve">. - - - - - - - - -   </w:t>
      </w:r>
    </w:p>
    <w:p w:rsidR="003C3B24" w:rsidRDefault="003C3B24" w:rsidP="003C3B24">
      <w:pPr>
        <w:pStyle w:val="NormalWeb"/>
        <w:numPr>
          <w:ilvl w:val="0"/>
          <w:numId w:val="42"/>
        </w:numPr>
        <w:spacing w:before="0" w:beforeAutospacing="0" w:after="0" w:afterAutospacing="0" w:line="480" w:lineRule="auto"/>
        <w:ind w:left="0" w:firstLine="709"/>
        <w:jc w:val="both"/>
        <w:rPr>
          <w:rFonts w:asciiTheme="minorHAnsi" w:hAnsiTheme="minorHAnsi" w:cstheme="minorHAnsi"/>
          <w:b/>
          <w:bCs/>
          <w:color w:val="000000" w:themeColor="text1"/>
          <w:sz w:val="22"/>
          <w:szCs w:val="22"/>
        </w:rPr>
      </w:pPr>
      <w:r>
        <w:rPr>
          <w:rFonts w:asciiTheme="minorHAnsi" w:hAnsiTheme="minorHAnsi" w:cstheme="minorHAnsi"/>
          <w:b/>
          <w:snapToGrid w:val="0"/>
          <w:sz w:val="22"/>
          <w:szCs w:val="22"/>
        </w:rPr>
        <w:t>ANÁLISIS Y DISCUSIÓN DEL OFICIO CJET/CA/96/2019, RECIBIDO EL VEINTISIETE DE JUNIO DE DOS MIL DIECINUEVE, SU</w:t>
      </w:r>
      <w:r w:rsidR="00D276B8">
        <w:rPr>
          <w:rFonts w:asciiTheme="minorHAnsi" w:hAnsiTheme="minorHAnsi" w:cstheme="minorHAnsi"/>
          <w:b/>
          <w:snapToGrid w:val="0"/>
          <w:sz w:val="22"/>
          <w:szCs w:val="22"/>
        </w:rPr>
        <w:t>S</w:t>
      </w:r>
      <w:r>
        <w:rPr>
          <w:rFonts w:asciiTheme="minorHAnsi" w:hAnsiTheme="minorHAnsi" w:cstheme="minorHAnsi"/>
          <w:b/>
          <w:snapToGrid w:val="0"/>
          <w:sz w:val="22"/>
          <w:szCs w:val="22"/>
        </w:rPr>
        <w:t xml:space="preserve">CRITO POR LA CONSEJERA MARTHA ZENTENO RAMÍREZ. </w:t>
      </w:r>
      <w:r>
        <w:rPr>
          <w:rFonts w:asciiTheme="minorHAnsi" w:hAnsiTheme="minorHAnsi" w:cstheme="minorHAnsi"/>
          <w:i/>
          <w:iCs/>
          <w:color w:val="000000" w:themeColor="text1"/>
          <w:sz w:val="22"/>
          <w:szCs w:val="22"/>
        </w:rPr>
        <w:t xml:space="preserve">Visto el oficio de cuenta, a fin de atender las necesidades del servicio y contar con cuatro </w:t>
      </w:r>
      <w:proofErr w:type="spellStart"/>
      <w:r>
        <w:rPr>
          <w:rFonts w:asciiTheme="minorHAnsi" w:hAnsiTheme="minorHAnsi" w:cstheme="minorHAnsi"/>
          <w:i/>
          <w:iCs/>
          <w:color w:val="000000" w:themeColor="text1"/>
          <w:sz w:val="22"/>
          <w:szCs w:val="22"/>
        </w:rPr>
        <w:t>diligenciarios</w:t>
      </w:r>
      <w:proofErr w:type="spellEnd"/>
      <w:r>
        <w:rPr>
          <w:rFonts w:asciiTheme="minorHAnsi" w:hAnsiTheme="minorHAnsi" w:cstheme="minorHAnsi"/>
          <w:i/>
          <w:iCs/>
          <w:color w:val="000000" w:themeColor="text1"/>
          <w:sz w:val="22"/>
          <w:szCs w:val="22"/>
        </w:rPr>
        <w:t xml:space="preserve"> en el Juzgado Mercantil y de Oralidad Mercantil del Distrito Judicial de Cuauhtémoc, con fundamento en los artículos 85 de la Constitución Particular del Estado, 58, 61, 65, 68, fracción I, 72 fracción III de la Ley Orgánica del Poder Judicial del Estado, 289 y 294 fracción II del Código Financiero para el Estado de Tlaxcala y sus Municipios, se crea DOS PLAZAS de DILIGENCIARIO (nivel 7), con adscripción en dicho juzgado, a partir del tres de julio de dos mil diecinueve.</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u w:val="single"/>
        </w:rPr>
        <w:t xml:space="preserve">APROBADO POR UNANIMIDAD DE </w:t>
      </w:r>
      <w:proofErr w:type="gramStart"/>
      <w:r>
        <w:rPr>
          <w:rFonts w:asciiTheme="minorHAnsi" w:hAnsiTheme="minorHAnsi" w:cstheme="minorHAnsi"/>
          <w:color w:val="000000" w:themeColor="text1"/>
          <w:sz w:val="22"/>
          <w:szCs w:val="22"/>
          <w:u w:val="single"/>
        </w:rPr>
        <w:t>VOTOS</w:t>
      </w:r>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 xml:space="preserve"> - - - - - - - - - - - - - - - - - - - - - - - - - - - - - - - - -</w:t>
      </w:r>
    </w:p>
    <w:p w:rsidR="003C3B24" w:rsidRDefault="003C3B24" w:rsidP="003C3B24">
      <w:pPr>
        <w:pStyle w:val="NormalWeb"/>
        <w:numPr>
          <w:ilvl w:val="0"/>
          <w:numId w:val="42"/>
        </w:numPr>
        <w:spacing w:before="0" w:beforeAutospacing="0" w:after="0" w:afterAutospacing="0" w:line="480" w:lineRule="auto"/>
        <w:ind w:left="0" w:firstLine="70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LICENCIA MÉDICA DE LA SECRETARIA DE ACUERDOS DEL JUZGADO PRIMERO DE LO CIVIL DEL DISTRITO JUDICIAL DE CUAUHTÉMOC. - - - - - - - - - - - - - - - </w:t>
      </w:r>
    </w:p>
    <w:p w:rsidR="00D276B8" w:rsidRDefault="00D276B8" w:rsidP="00D276B8">
      <w:pPr>
        <w:pStyle w:val="NormalWeb"/>
        <w:spacing w:before="0" w:beforeAutospacing="0" w:after="0" w:afterAutospacing="0" w:line="480" w:lineRule="auto"/>
        <w:ind w:left="709"/>
        <w:jc w:val="both"/>
        <w:rPr>
          <w:rFonts w:asciiTheme="minorHAnsi" w:hAnsiTheme="minorHAnsi" w:cstheme="minorHAnsi"/>
          <w:b/>
          <w:bCs/>
          <w:color w:val="000000" w:themeColor="text1"/>
          <w:sz w:val="22"/>
          <w:szCs w:val="22"/>
        </w:rPr>
      </w:pPr>
      <w:bookmarkStart w:id="3" w:name="_GoBack"/>
      <w:bookmarkEnd w:id="3"/>
    </w:p>
    <w:p w:rsidR="003C3B24" w:rsidRDefault="003C3B24" w:rsidP="003C3B24">
      <w:pPr>
        <w:pStyle w:val="NormalWeb"/>
        <w:spacing w:before="0" w:beforeAutospacing="0" w:after="0" w:afterAutospacing="0" w:line="480" w:lineRule="auto"/>
        <w:jc w:val="both"/>
        <w:rPr>
          <w:rFonts w:asciiTheme="minorHAnsi" w:hAnsiTheme="minorHAnsi" w:cstheme="minorHAnsi"/>
          <w:color w:val="000000" w:themeColor="text1"/>
          <w:sz w:val="22"/>
          <w:szCs w:val="22"/>
        </w:rPr>
      </w:pPr>
      <w:r>
        <w:rPr>
          <w:rFonts w:asciiTheme="minorHAnsi" w:hAnsiTheme="minorHAnsi" w:cstheme="minorHAnsi"/>
          <w:i/>
          <w:iCs/>
          <w:color w:val="000000" w:themeColor="text1"/>
          <w:sz w:val="22"/>
          <w:szCs w:val="22"/>
        </w:rPr>
        <w:lastRenderedPageBreak/>
        <w:t xml:space="preserve">Dada cuenta con la licencia médica número 4782, expedida a la secretaria de acuerdos del Juzgado Primero de lo Civil del Distrito Judicial de Cuauhtémoc, a efecto de no retrasar las labores del juzgado, con fundamento en los artículos 60, 61, y 68 fracción I de la Ley Orgánica del Poder Judicial del Estado, se designa a la Licenciada MARÍA VERÓNICA FERNÁNDEZ MELÉNDEZ, proyectista del juzgado en mención, para que cubra la ausencia por licencia médica de la </w:t>
      </w:r>
      <w:proofErr w:type="gramStart"/>
      <w:r>
        <w:rPr>
          <w:rFonts w:asciiTheme="minorHAnsi" w:hAnsiTheme="minorHAnsi" w:cstheme="minorHAnsi"/>
          <w:i/>
          <w:iCs/>
          <w:color w:val="000000" w:themeColor="text1"/>
          <w:sz w:val="22"/>
          <w:szCs w:val="22"/>
        </w:rPr>
        <w:t>Secretaria</w:t>
      </w:r>
      <w:proofErr w:type="gramEnd"/>
      <w:r>
        <w:rPr>
          <w:rFonts w:asciiTheme="minorHAnsi" w:hAnsiTheme="minorHAnsi" w:cstheme="minorHAnsi"/>
          <w:i/>
          <w:iCs/>
          <w:color w:val="000000" w:themeColor="text1"/>
          <w:sz w:val="22"/>
          <w:szCs w:val="22"/>
        </w:rPr>
        <w:t xml:space="preserve"> de acuerdos, a partir de esta fecha, por el tiempo que dure la licencia. </w:t>
      </w:r>
      <w:r>
        <w:rPr>
          <w:rFonts w:asciiTheme="minorHAnsi" w:hAnsiTheme="minorHAnsi" w:cstheme="minorHAnsi"/>
          <w:color w:val="000000" w:themeColor="text1"/>
          <w:sz w:val="22"/>
          <w:szCs w:val="22"/>
          <w:u w:val="single"/>
        </w:rPr>
        <w:t>APROBADO POR UNANIMIDAD DE VOTOS</w:t>
      </w:r>
      <w:r>
        <w:rPr>
          <w:rFonts w:asciiTheme="minorHAnsi" w:hAnsiTheme="minorHAnsi" w:cstheme="minorHAnsi"/>
          <w:color w:val="000000" w:themeColor="text1"/>
          <w:sz w:val="22"/>
          <w:szCs w:val="22"/>
        </w:rPr>
        <w:t xml:space="preserve">. - - - - - - - - - - - </w:t>
      </w:r>
    </w:p>
    <w:p w:rsidR="003C3B24" w:rsidRDefault="003C3B24" w:rsidP="003C3B24">
      <w:pPr>
        <w:pStyle w:val="Prrafodelista"/>
        <w:numPr>
          <w:ilvl w:val="0"/>
          <w:numId w:val="42"/>
        </w:numPr>
        <w:tabs>
          <w:tab w:val="left" w:pos="567"/>
        </w:tabs>
        <w:spacing w:after="0" w:line="480" w:lineRule="auto"/>
        <w:ind w:left="0" w:firstLine="360"/>
        <w:jc w:val="both"/>
        <w:rPr>
          <w:rFonts w:asciiTheme="minorHAnsi" w:eastAsia="Batang" w:hAnsiTheme="minorHAnsi" w:cstheme="minorHAnsi"/>
          <w:b/>
          <w:bCs/>
          <w:i/>
          <w:iCs/>
        </w:rPr>
      </w:pPr>
      <w:r>
        <w:rPr>
          <w:rFonts w:asciiTheme="minorHAnsi" w:eastAsia="Batang" w:hAnsiTheme="minorHAnsi" w:cstheme="minorHAnsi"/>
          <w:b/>
          <w:bCs/>
        </w:rPr>
        <w:t xml:space="preserve">ADSCRIPCIONES Y READSCRIPCIONES. </w:t>
      </w:r>
      <w:r>
        <w:rPr>
          <w:rFonts w:asciiTheme="minorHAnsi" w:eastAsia="Batang" w:hAnsiTheme="minorHAnsi" w:cstheme="minorHAnsi"/>
          <w:i/>
          <w:iCs/>
        </w:rPr>
        <w:t xml:space="preserve">Con fundamento en los artículos 61 y 68 fracción I de la Ley Orgánica del Poder Judicial del Estado, se determina: </w:t>
      </w:r>
    </w:p>
    <w:tbl>
      <w:tblPr>
        <w:tblStyle w:val="Tablaconcuadrcula"/>
        <w:tblW w:w="0" w:type="auto"/>
        <w:tblLook w:val="04A0" w:firstRow="1" w:lastRow="0" w:firstColumn="1" w:lastColumn="0" w:noHBand="0" w:noVBand="1"/>
      </w:tblPr>
      <w:tblGrid>
        <w:gridCol w:w="3256"/>
        <w:gridCol w:w="4440"/>
      </w:tblGrid>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SITUACIÓN ACTUAL</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center"/>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DETERMINACIÓN</w:t>
            </w:r>
          </w:p>
        </w:tc>
      </w:tr>
      <w:tr w:rsidR="003C3B24" w:rsidTr="003C3B24">
        <w:trPr>
          <w:trHeight w:val="1972"/>
        </w:trPr>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rPr>
              <w:t xml:space="preserve">LIC. MARÍA DEL ROCÍO JUÁREZ PÉREZ </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Asistente de atención al público interina del Juzgado de Control y de Juicio Oral del Distrito Judicial de Guridi y Alcocer, a partir del tres de julio de dos mil diecinueve, por el término de tres meses.</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LIC. MARTHA PATRICIA FONCECA FRAGOSO</w:t>
            </w:r>
          </w:p>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proofErr w:type="spellStart"/>
            <w:r>
              <w:rPr>
                <w:rFonts w:asciiTheme="minorHAnsi" w:hAnsiTheme="minorHAnsi" w:cstheme="minorHAnsi"/>
                <w:b/>
                <w:bCs/>
                <w:color w:val="000000" w:themeColor="text1"/>
              </w:rPr>
              <w:t>Diligenciaria</w:t>
            </w:r>
            <w:proofErr w:type="spellEnd"/>
            <w:r>
              <w:rPr>
                <w:rFonts w:asciiTheme="minorHAnsi" w:hAnsiTheme="minorHAnsi" w:cstheme="minorHAnsi"/>
                <w:b/>
                <w:bCs/>
                <w:color w:val="000000" w:themeColor="text1"/>
              </w:rPr>
              <w:t xml:space="preserve"> del Juzgado Tercero de lo Familiar del Distrito Judicial de Cuauhtémoc </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proofErr w:type="spellStart"/>
            <w:r>
              <w:rPr>
                <w:rFonts w:asciiTheme="minorHAnsi" w:hAnsiTheme="minorHAnsi" w:cstheme="minorHAnsi"/>
                <w:b/>
                <w:bCs/>
                <w:color w:val="000000" w:themeColor="text1"/>
                <w:sz w:val="22"/>
                <w:szCs w:val="22"/>
                <w:lang w:eastAsia="en-US"/>
              </w:rPr>
              <w:t>Diligenciaria</w:t>
            </w:r>
            <w:proofErr w:type="spellEnd"/>
            <w:r>
              <w:rPr>
                <w:rFonts w:asciiTheme="minorHAnsi" w:hAnsiTheme="minorHAnsi" w:cstheme="minorHAnsi"/>
                <w:b/>
                <w:bCs/>
                <w:color w:val="000000" w:themeColor="text1"/>
                <w:sz w:val="22"/>
                <w:szCs w:val="22"/>
                <w:lang w:eastAsia="en-US"/>
              </w:rPr>
              <w:t xml:space="preserve"> interina del Juzgado Cuarto de lo Familiar del Distrito Judicial de Cuauhtémoc, a partir del tres de julio de dos mil diecinueve, hasta nuevas instrucciones</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LIC. NOHEMÍ CARCAÑO CERVANTES</w:t>
            </w:r>
          </w:p>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Oficial de partes del Juzgado Tercero de lo Familiar del Distrito Judicial de Cuauhtémoc</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proofErr w:type="spellStart"/>
            <w:r>
              <w:rPr>
                <w:rFonts w:asciiTheme="minorHAnsi" w:hAnsiTheme="minorHAnsi" w:cstheme="minorHAnsi"/>
                <w:b/>
                <w:bCs/>
                <w:color w:val="000000" w:themeColor="text1"/>
                <w:sz w:val="22"/>
                <w:szCs w:val="22"/>
                <w:lang w:eastAsia="en-US"/>
              </w:rPr>
              <w:t>Diligenciaria</w:t>
            </w:r>
            <w:proofErr w:type="spellEnd"/>
            <w:r>
              <w:rPr>
                <w:rFonts w:asciiTheme="minorHAnsi" w:hAnsiTheme="minorHAnsi" w:cstheme="minorHAnsi"/>
                <w:b/>
                <w:bCs/>
                <w:color w:val="000000" w:themeColor="text1"/>
                <w:sz w:val="22"/>
                <w:szCs w:val="22"/>
                <w:lang w:eastAsia="en-US"/>
              </w:rPr>
              <w:t xml:space="preserve"> interina del Juzgado Tercero de lo Familiar del Distrito Judicial de Cuauhtémoc, a partir del tres de julio de dos mil diecinueve, por el término de tres meses.</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Lic. ERICK FLORES PÉREZ</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Oficial de partes interino del Juzgado Cuarto de lo Familiar del Distrito Judicial de Cuauhtémoc, a partir del tres de julio de dos mil diecinueve, hasta nuevas instrucciones.</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LIC. VERÓNICA LETICIA BERNAL SALAZAR</w:t>
            </w:r>
          </w:p>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Auxiliar administrativa adscrita al Juzgado Tercero de lo Familiar del Distrito Judicial de Cuauhtémoc</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 xml:space="preserve">Se readscribe con su mismo nivel (5) como auxiliar administrativa en funciones de Auxiliar de la Oficialía de partes del Juzgado Cuarto de lo Familiar del Distrito Judicial de Cuauhtémoc, de manera interina, a partir del tres de julio de dos mil diecinueve, por el término de tres meses. </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rPr>
            </w:pPr>
            <w:r>
              <w:rPr>
                <w:rFonts w:asciiTheme="minorHAnsi" w:hAnsiTheme="minorHAnsi" w:cstheme="minorHAnsi"/>
                <w:b/>
                <w:bCs/>
              </w:rPr>
              <w:t xml:space="preserve">LIC. JANEATTE IBETTE </w:t>
            </w:r>
          </w:p>
          <w:p w:rsidR="003C3B24" w:rsidRDefault="003C3B24">
            <w:pPr>
              <w:pStyle w:val="Sinespaciado"/>
              <w:tabs>
                <w:tab w:val="left" w:pos="1134"/>
              </w:tabs>
              <w:spacing w:line="360" w:lineRule="auto"/>
              <w:jc w:val="center"/>
              <w:rPr>
                <w:rFonts w:asciiTheme="minorHAnsi" w:hAnsiTheme="minorHAnsi" w:cstheme="minorHAnsi"/>
                <w:b/>
                <w:bCs/>
              </w:rPr>
            </w:pPr>
            <w:r>
              <w:rPr>
                <w:rFonts w:asciiTheme="minorHAnsi" w:hAnsiTheme="minorHAnsi" w:cstheme="minorHAnsi"/>
                <w:b/>
                <w:bCs/>
              </w:rPr>
              <w:t xml:space="preserve">SAAVEDRA GARCÍA </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 xml:space="preserve">Se adscribe como mecanógrafa del Juzgado Cuarto de lo Familiar del Distrito Judicial de Cuauhtémoc, en sustitución de Verónica </w:t>
            </w:r>
            <w:r>
              <w:rPr>
                <w:rFonts w:asciiTheme="minorHAnsi" w:hAnsiTheme="minorHAnsi" w:cstheme="minorHAnsi"/>
                <w:b/>
                <w:bCs/>
                <w:color w:val="000000" w:themeColor="text1"/>
                <w:sz w:val="22"/>
                <w:szCs w:val="22"/>
                <w:lang w:eastAsia="en-US"/>
              </w:rPr>
              <w:lastRenderedPageBreak/>
              <w:t>Leticia Bernal Salazar, de manera interina, a partir del tres de julio, por el término de tres meses. En sustitución de la Licenciada Verónica Leticia Bernal Salazar.</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LIC. NANCY ELIZABETH MÁRQUEZ MEDELLÍN</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 xml:space="preserve">Auxiliar de registro adscrita a la Oficialía de partes común de Ciudad Judicial, a partir del uno de agosto de dos mil diecinueve, de manera interina, por el término de tres meses </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LIC. ANGÉLICA MARÍA ESTRADA MÁRQUEZ</w:t>
            </w:r>
          </w:p>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Oficial de partes del Juzgado Mercantil y de Oralidad Mercantil del Distrito Judicial de Cuauhtémoc</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 xml:space="preserve">Se readscribe como </w:t>
            </w:r>
            <w:proofErr w:type="spellStart"/>
            <w:r>
              <w:rPr>
                <w:rFonts w:asciiTheme="minorHAnsi" w:hAnsiTheme="minorHAnsi" w:cstheme="minorHAnsi"/>
                <w:b/>
                <w:bCs/>
                <w:color w:val="000000" w:themeColor="text1"/>
                <w:sz w:val="22"/>
                <w:szCs w:val="22"/>
                <w:lang w:eastAsia="en-US"/>
              </w:rPr>
              <w:t>Diligenciaria</w:t>
            </w:r>
            <w:proofErr w:type="spellEnd"/>
            <w:r>
              <w:rPr>
                <w:rFonts w:asciiTheme="minorHAnsi" w:hAnsiTheme="minorHAnsi" w:cstheme="minorHAnsi"/>
                <w:b/>
                <w:bCs/>
                <w:color w:val="000000" w:themeColor="text1"/>
                <w:sz w:val="22"/>
                <w:szCs w:val="22"/>
                <w:lang w:eastAsia="en-US"/>
              </w:rPr>
              <w:t xml:space="preserve"> del Juzgado Mercantil y de Oralidad Mercantil del Distrito Judicial de Cuauhtémoc, a partir del tres de julio de dos mil diecinueve y hasta nuevas instrucciones</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MTRA. ELIZABETH JARA LIRA</w:t>
            </w:r>
          </w:p>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Oficial de partes del Juzgado Primero de lo Civil del Distrito Judicial de Cuauhtémoc</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 xml:space="preserve">Se readscribe como </w:t>
            </w:r>
            <w:proofErr w:type="spellStart"/>
            <w:r>
              <w:rPr>
                <w:rFonts w:asciiTheme="minorHAnsi" w:hAnsiTheme="minorHAnsi" w:cstheme="minorHAnsi"/>
                <w:b/>
                <w:bCs/>
                <w:color w:val="000000" w:themeColor="text1"/>
                <w:sz w:val="22"/>
                <w:szCs w:val="22"/>
                <w:lang w:eastAsia="en-US"/>
              </w:rPr>
              <w:t>Diligenciaria</w:t>
            </w:r>
            <w:proofErr w:type="spellEnd"/>
            <w:r>
              <w:rPr>
                <w:rFonts w:asciiTheme="minorHAnsi" w:hAnsiTheme="minorHAnsi" w:cstheme="minorHAnsi"/>
                <w:b/>
                <w:bCs/>
                <w:color w:val="000000" w:themeColor="text1"/>
                <w:sz w:val="22"/>
                <w:szCs w:val="22"/>
                <w:lang w:eastAsia="en-US"/>
              </w:rPr>
              <w:t xml:space="preserve"> del Juzgado Mercantil y de Oralidad Mercantil del Distrito Judicial de Cuauhtémoc, a partir del tres de julio de dos mil diecinueve y hasta nuevas instrucciones.</w:t>
            </w:r>
          </w:p>
        </w:tc>
      </w:tr>
      <w:tr w:rsidR="003C3B24" w:rsidTr="003C3B24">
        <w:trPr>
          <w:trHeight w:val="1118"/>
        </w:trPr>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LIC. EVA MOCTEZUMA HERNÁNDEZ</w:t>
            </w:r>
          </w:p>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Oficial de partes del Juzgado Cuarto de lo Civil del Distrito Judicial de Cuauhtémoc</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Se readscribe como Oficial de partes del Juzgado Mercantil y de Oralidad Mercantil del Distrito Judicial de Cuauhtémoc, a partir del tres de julio de dos mil diecinueve y hasta nuevas instrucciones.</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rPr>
              <w:t>LIC. MARISOL LÓPEZ HERNÁNDEZ</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Se adscribe como auxiliar administrativa en funciones de auxiliar de la Oficialía de partes del Juzgado Cuarto de lo Civil del Distrito Judicial de Cuauhtémoc, de manera interina, por el termino de tres meses, a partir del tres de julio de dos mil diecinueve.</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LIC. ALBINO NAVA PAREDES</w:t>
            </w:r>
          </w:p>
          <w:p w:rsidR="003C3B24" w:rsidRDefault="003C3B24">
            <w:pPr>
              <w:pStyle w:val="Sinespaciado"/>
              <w:tabs>
                <w:tab w:val="left" w:pos="1134"/>
              </w:tabs>
              <w:spacing w:line="360" w:lineRule="auto"/>
              <w:jc w:val="center"/>
              <w:rPr>
                <w:rFonts w:asciiTheme="minorHAnsi" w:hAnsiTheme="minorHAnsi" w:cstheme="minorHAnsi"/>
                <w:b/>
                <w:bCs/>
                <w:color w:val="000000" w:themeColor="text1"/>
                <w:u w:val="words"/>
              </w:rPr>
            </w:pPr>
            <w:r>
              <w:rPr>
                <w:rFonts w:asciiTheme="minorHAnsi" w:hAnsiTheme="minorHAnsi" w:cstheme="minorHAnsi"/>
                <w:b/>
                <w:bCs/>
                <w:color w:val="000000" w:themeColor="text1"/>
              </w:rPr>
              <w:t>Auxiliar administrativo en funciones de auxiliar de la oficialía de partes del Juzgado Primero de lo Civil del Distrito Judicial de Cuauhtémoc</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Se designa Oficial de partes del Juzgado Primero de lo Civil del Distrito Judicial de Cuauhtémoc</w:t>
            </w:r>
          </w:p>
        </w:tc>
      </w:tr>
      <w:tr w:rsidR="003C3B24" w:rsidTr="003C3B24">
        <w:tc>
          <w:tcPr>
            <w:tcW w:w="3256" w:type="dxa"/>
            <w:tcBorders>
              <w:top w:val="single" w:sz="4" w:space="0" w:color="auto"/>
              <w:left w:val="single" w:sz="4" w:space="0" w:color="auto"/>
              <w:bottom w:val="single" w:sz="4" w:space="0" w:color="auto"/>
              <w:right w:val="single" w:sz="4" w:space="0" w:color="auto"/>
            </w:tcBorders>
            <w:hideMark/>
          </w:tcPr>
          <w:p w:rsidR="003C3B24" w:rsidRDefault="003C3B24">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rPr>
              <w:t>LIC. CLAUDIA ROSALES CONTRERAS</w:t>
            </w:r>
          </w:p>
        </w:tc>
        <w:tc>
          <w:tcPr>
            <w:tcW w:w="4440" w:type="dxa"/>
            <w:tcBorders>
              <w:top w:val="single" w:sz="4" w:space="0" w:color="auto"/>
              <w:left w:val="single" w:sz="4" w:space="0" w:color="auto"/>
              <w:bottom w:val="single" w:sz="4" w:space="0" w:color="auto"/>
              <w:right w:val="single" w:sz="4" w:space="0" w:color="auto"/>
            </w:tcBorders>
            <w:hideMark/>
          </w:tcPr>
          <w:p w:rsidR="003C3B24" w:rsidRDefault="003C3B24">
            <w:pPr>
              <w:pStyle w:val="NormalWeb"/>
              <w:spacing w:before="0" w:beforeAutospacing="0" w:after="0" w:afterAutospacing="0" w:line="360" w:lineRule="auto"/>
              <w:jc w:val="both"/>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 xml:space="preserve">Se adscribe como Auxiliar administrativa en funciones de auxiliar de la oficialía de partes del Juzgado Primero de lo Civil del Distrito Judicial de Cuauhtémoc, de manera interina, a partir del tres de julio de dos mil diecinueve, por el término de tres meses. </w:t>
            </w:r>
          </w:p>
        </w:tc>
      </w:tr>
    </w:tbl>
    <w:p w:rsidR="003C3B24" w:rsidRDefault="003C3B24" w:rsidP="003C3B24">
      <w:pPr>
        <w:pStyle w:val="Prrafodelista"/>
        <w:tabs>
          <w:tab w:val="left" w:pos="567"/>
        </w:tabs>
        <w:spacing w:after="0" w:line="480" w:lineRule="auto"/>
        <w:jc w:val="both"/>
        <w:rPr>
          <w:rFonts w:asciiTheme="minorHAnsi" w:eastAsia="Batang" w:hAnsiTheme="minorHAnsi" w:cstheme="minorHAnsi"/>
        </w:rPr>
      </w:pPr>
    </w:p>
    <w:p w:rsidR="003C3B24" w:rsidRDefault="003C3B24" w:rsidP="003C3B24">
      <w:pPr>
        <w:pStyle w:val="Prrafodelista"/>
        <w:tabs>
          <w:tab w:val="left" w:pos="567"/>
        </w:tabs>
        <w:spacing w:after="0" w:line="480" w:lineRule="auto"/>
        <w:ind w:left="0"/>
        <w:jc w:val="both"/>
        <w:rPr>
          <w:rFonts w:asciiTheme="minorHAnsi" w:eastAsia="Batang" w:hAnsiTheme="minorHAnsi" w:cstheme="minorHAnsi"/>
        </w:rPr>
      </w:pPr>
      <w:r>
        <w:rPr>
          <w:rFonts w:asciiTheme="minorHAnsi" w:eastAsia="Batang" w:hAnsiTheme="minorHAnsi" w:cstheme="minorHAnsi"/>
          <w:u w:val="single"/>
        </w:rPr>
        <w:t>APROBADO POR UNANIMIDAD DE VOTOS</w:t>
      </w:r>
      <w:r>
        <w:rPr>
          <w:rFonts w:asciiTheme="minorHAnsi" w:eastAsia="Batang" w:hAnsiTheme="minorHAnsi" w:cstheme="minorHAnsi"/>
        </w:rPr>
        <w:t xml:space="preserve">. - - - - - - - - - - - - - - - - - - - - - - - - - - - - - - - - - </w:t>
      </w:r>
    </w:p>
    <w:p w:rsidR="003C3B24" w:rsidRDefault="003C3B24" w:rsidP="003C3B24">
      <w:pPr>
        <w:pStyle w:val="NormalWeb"/>
        <w:numPr>
          <w:ilvl w:val="0"/>
          <w:numId w:val="42"/>
        </w:numPr>
        <w:spacing w:before="0" w:beforeAutospacing="0" w:after="0" w:afterAutospacing="0" w:line="480" w:lineRule="auto"/>
        <w:ind w:left="0" w:firstLine="709"/>
        <w:jc w:val="both"/>
        <w:rPr>
          <w:rFonts w:asciiTheme="minorHAnsi" w:eastAsia="Batang" w:hAnsiTheme="minorHAnsi" w:cstheme="minorHAnsi"/>
          <w:sz w:val="22"/>
          <w:szCs w:val="22"/>
        </w:rPr>
      </w:pPr>
      <w:r>
        <w:rPr>
          <w:rFonts w:asciiTheme="minorHAnsi" w:eastAsia="Batang" w:hAnsiTheme="minorHAnsi" w:cstheme="minorHAnsi"/>
          <w:b/>
          <w:bCs/>
          <w:sz w:val="22"/>
          <w:szCs w:val="22"/>
        </w:rPr>
        <w:lastRenderedPageBreak/>
        <w:t xml:space="preserve">REMOCIÓN DEL JEFE DE DEPARTAMENTO ADSCRITO A LA TESORERÍA DEL PODER JUDICIAL. </w:t>
      </w:r>
      <w:r>
        <w:rPr>
          <w:rFonts w:asciiTheme="minorHAnsi" w:eastAsia="Batang" w:hAnsiTheme="minorHAnsi" w:cstheme="minorHAnsi"/>
          <w:i/>
          <w:iCs/>
          <w:sz w:val="22"/>
          <w:szCs w:val="22"/>
        </w:rPr>
        <w:t xml:space="preserve">Con fundamento en los artículos 61 y 68 fracción I de la Ley Orgánica del Poder Judicial del Estado, se determina la REMOCIÓN del cargo del Contador Público FAUSTINO MONTIEL CORONA, Jefe de Departamento adscrito a la Tesorería del Poder Judicial del Estado, con efectos inmediatos; se instruye al Director Jurídico para que, en coordinación con la Tesorería, calcule las prestaciones a que tiene derecho y realice el pago de las mismas ante el Tribunal de Conciliación y Arbitraje del Estado. </w:t>
      </w:r>
      <w:r>
        <w:rPr>
          <w:rFonts w:asciiTheme="minorHAnsi" w:eastAsia="Batang" w:hAnsiTheme="minorHAnsi" w:cstheme="minorHAnsi"/>
          <w:sz w:val="22"/>
          <w:szCs w:val="22"/>
          <w:u w:val="single"/>
        </w:rPr>
        <w:t>APROBADO POR UNANIMIDAD DE VOTOS</w:t>
      </w:r>
      <w:r>
        <w:rPr>
          <w:rFonts w:asciiTheme="minorHAnsi" w:eastAsia="Batang" w:hAnsiTheme="minorHAnsi" w:cstheme="minorHAnsi"/>
          <w:sz w:val="22"/>
          <w:szCs w:val="22"/>
        </w:rPr>
        <w:t xml:space="preserve">. - - - - - - - - - - - - - - - - - - - - - - - - - - - </w:t>
      </w:r>
    </w:p>
    <w:p w:rsidR="003C3B24" w:rsidRDefault="003C3B24" w:rsidP="003C3B24">
      <w:pPr>
        <w:pStyle w:val="NormalWeb"/>
        <w:spacing w:before="0" w:beforeAutospacing="0" w:after="0" w:afterAutospacing="0" w:line="480" w:lineRule="auto"/>
        <w:ind w:firstLine="709"/>
        <w:jc w:val="both"/>
        <w:rPr>
          <w:rFonts w:asciiTheme="minorHAnsi" w:hAnsiTheme="minorHAnsi" w:cstheme="minorHAnsi"/>
          <w:sz w:val="22"/>
          <w:szCs w:val="22"/>
        </w:rPr>
      </w:pPr>
      <w:r>
        <w:rPr>
          <w:rFonts w:asciiTheme="minorHAnsi" w:eastAsia="Batang" w:hAnsiTheme="minorHAnsi" w:cstheme="minorHAnsi"/>
          <w:sz w:val="22"/>
          <w:szCs w:val="22"/>
        </w:rPr>
        <w:t>No habiendo otro asunto que tratar, s</w:t>
      </w:r>
      <w:r>
        <w:rPr>
          <w:rFonts w:asciiTheme="minorHAnsi" w:hAnsiTheme="minorHAnsi" w:cstheme="minorHAnsi"/>
          <w:sz w:val="22"/>
          <w:szCs w:val="22"/>
        </w:rPr>
        <w:t xml:space="preserve">iendo las catorce horas del día de su inicio, se da por concluida la Sesión Extraordinaria Privada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4" w:name="_Hlk478557854"/>
      <w:r>
        <w:rPr>
          <w:rFonts w:asciiTheme="minorHAnsi" w:hAnsiTheme="minorHAnsi" w:cstheme="minorHAnsi"/>
          <w:sz w:val="22"/>
          <w:szCs w:val="22"/>
        </w:rPr>
        <w:t xml:space="preserve">- - - - - - - - - - - - - - - - - - - - - - - - - - - - - </w:t>
      </w:r>
    </w:p>
    <w:p w:rsidR="003C3B24" w:rsidRDefault="003C3B24" w:rsidP="003C3B24">
      <w:pPr>
        <w:pStyle w:val="NormalWeb"/>
        <w:spacing w:before="0" w:beforeAutospacing="0" w:after="0" w:afterAutospacing="0" w:line="480" w:lineRule="auto"/>
        <w:jc w:val="both"/>
        <w:rPr>
          <w:rFonts w:asciiTheme="minorHAnsi" w:hAnsiTheme="minorHAnsi" w:cstheme="minorHAnsi"/>
          <w:b/>
          <w:sz w:val="22"/>
          <w:szCs w:val="22"/>
        </w:rPr>
      </w:pPr>
    </w:p>
    <w:p w:rsidR="003C3B24" w:rsidRDefault="003C3B24" w:rsidP="003C3B24">
      <w:pPr>
        <w:pStyle w:val="NormalWeb"/>
        <w:spacing w:before="0" w:beforeAutospacing="0" w:after="0" w:afterAutospacing="0" w:line="480" w:lineRule="auto"/>
        <w:jc w:val="both"/>
        <w:rPr>
          <w:rFonts w:asciiTheme="minorHAnsi" w:hAnsiTheme="minorHAnsi" w:cstheme="minorHAnsi"/>
          <w:b/>
          <w:sz w:val="22"/>
          <w:szCs w:val="22"/>
        </w:rPr>
      </w:pPr>
    </w:p>
    <w:p w:rsidR="003C3B24" w:rsidRDefault="003C3B24" w:rsidP="003C3B24">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bottomFromText="200" w:vertAnchor="text" w:horzAnchor="margin" w:tblpY="269"/>
        <w:tblW w:w="8330" w:type="dxa"/>
        <w:tblLook w:val="04A0" w:firstRow="1" w:lastRow="0" w:firstColumn="1" w:lastColumn="0" w:noHBand="0" w:noVBand="1"/>
      </w:tblPr>
      <w:tblGrid>
        <w:gridCol w:w="4361"/>
        <w:gridCol w:w="283"/>
        <w:gridCol w:w="3686"/>
      </w:tblGrid>
      <w:tr w:rsidR="003C3B24" w:rsidTr="003C3B24">
        <w:tc>
          <w:tcPr>
            <w:tcW w:w="4361" w:type="dxa"/>
            <w:hideMark/>
          </w:tcPr>
          <w:bookmarkEnd w:id="4"/>
          <w:p w:rsidR="003C3B24" w:rsidRDefault="003C3B24">
            <w:pPr>
              <w:spacing w:after="0"/>
              <w:jc w:val="center"/>
              <w:rPr>
                <w:rFonts w:asciiTheme="minorHAnsi" w:hAnsiTheme="minorHAnsi" w:cstheme="minorHAnsi"/>
              </w:rPr>
            </w:pPr>
            <w:r>
              <w:rPr>
                <w:rFonts w:asciiTheme="minorHAnsi" w:hAnsiTheme="minorHAnsi" w:cstheme="minorHAnsi"/>
              </w:rPr>
              <w:t xml:space="preserve">Magistrado Mario Antonio de Jesús </w:t>
            </w:r>
          </w:p>
          <w:p w:rsidR="003C3B24" w:rsidRDefault="003C3B24">
            <w:pPr>
              <w:spacing w:after="0"/>
              <w:jc w:val="center"/>
              <w:rPr>
                <w:rFonts w:asciiTheme="minorHAnsi" w:hAnsiTheme="minorHAnsi" w:cstheme="minorHAnsi"/>
              </w:rPr>
            </w:pPr>
            <w:r>
              <w:rPr>
                <w:rFonts w:asciiTheme="minorHAnsi" w:hAnsiTheme="minorHAnsi" w:cstheme="minorHAnsi"/>
              </w:rPr>
              <w:t>Jiménez Martínez.</w:t>
            </w:r>
          </w:p>
          <w:p w:rsidR="003C3B24" w:rsidRDefault="003C3B24">
            <w:pPr>
              <w:spacing w:after="0"/>
              <w:jc w:val="center"/>
              <w:rPr>
                <w:rFonts w:asciiTheme="minorHAnsi" w:hAnsiTheme="minorHAnsi" w:cstheme="minorHAnsi"/>
              </w:rPr>
            </w:pPr>
            <w:r>
              <w:rPr>
                <w:rFonts w:asciiTheme="minorHAnsi" w:hAnsiTheme="minorHAnsi" w:cstheme="minorHAnsi"/>
              </w:rPr>
              <w:t xml:space="preserve">Presidente del Tribunal Superior de Justicia </w:t>
            </w:r>
          </w:p>
          <w:p w:rsidR="003C3B24" w:rsidRDefault="003C3B24">
            <w:pPr>
              <w:spacing w:after="0"/>
              <w:jc w:val="center"/>
              <w:rPr>
                <w:rFonts w:asciiTheme="minorHAnsi" w:hAnsiTheme="minorHAnsi" w:cstheme="minorHAnsi"/>
              </w:rPr>
            </w:pPr>
            <w:r>
              <w:rPr>
                <w:rFonts w:asciiTheme="minorHAnsi" w:hAnsiTheme="minorHAnsi" w:cstheme="minorHAnsi"/>
              </w:rPr>
              <w:t>y del Consejo de la Judicatura</w:t>
            </w:r>
          </w:p>
          <w:p w:rsidR="003C3B24" w:rsidRDefault="003C3B24">
            <w:pPr>
              <w:spacing w:after="0"/>
              <w:jc w:val="center"/>
              <w:rPr>
                <w:rFonts w:asciiTheme="minorHAnsi" w:hAnsiTheme="minorHAnsi" w:cstheme="minorHAnsi"/>
              </w:rPr>
            </w:pPr>
            <w:r>
              <w:rPr>
                <w:rFonts w:asciiTheme="minorHAnsi" w:hAnsiTheme="minorHAnsi" w:cstheme="minorHAnsi"/>
              </w:rPr>
              <w:t>del Estado de Tlaxcala</w:t>
            </w:r>
          </w:p>
        </w:tc>
        <w:tc>
          <w:tcPr>
            <w:tcW w:w="283" w:type="dxa"/>
          </w:tcPr>
          <w:p w:rsidR="003C3B24" w:rsidRDefault="003C3B24">
            <w:pPr>
              <w:spacing w:after="0"/>
              <w:jc w:val="both"/>
              <w:rPr>
                <w:rFonts w:asciiTheme="minorHAnsi" w:hAnsiTheme="minorHAnsi" w:cstheme="minorHAnsi"/>
              </w:rPr>
            </w:pPr>
          </w:p>
          <w:p w:rsidR="003C3B24" w:rsidRDefault="003C3B24">
            <w:pPr>
              <w:spacing w:after="0"/>
              <w:jc w:val="both"/>
              <w:rPr>
                <w:rFonts w:asciiTheme="minorHAnsi" w:hAnsiTheme="minorHAnsi" w:cstheme="minorHAnsi"/>
              </w:rPr>
            </w:pPr>
          </w:p>
        </w:tc>
        <w:tc>
          <w:tcPr>
            <w:tcW w:w="3686" w:type="dxa"/>
            <w:hideMark/>
          </w:tcPr>
          <w:p w:rsidR="003C3B24" w:rsidRDefault="003C3B24">
            <w:pPr>
              <w:spacing w:after="0"/>
              <w:jc w:val="center"/>
              <w:rPr>
                <w:rFonts w:asciiTheme="minorHAnsi" w:hAnsiTheme="minorHAnsi" w:cstheme="minorHAnsi"/>
              </w:rPr>
            </w:pPr>
            <w:r>
              <w:rPr>
                <w:rFonts w:asciiTheme="minorHAnsi" w:hAnsiTheme="minorHAnsi" w:cstheme="minorHAnsi"/>
              </w:rPr>
              <w:t xml:space="preserve">Lic. Martha Zenteno Ramírez </w:t>
            </w:r>
          </w:p>
          <w:p w:rsidR="003C3B24" w:rsidRDefault="003C3B24">
            <w:pPr>
              <w:spacing w:after="0"/>
              <w:jc w:val="center"/>
              <w:rPr>
                <w:rFonts w:asciiTheme="minorHAnsi" w:hAnsiTheme="minorHAnsi" w:cstheme="minorHAnsi"/>
              </w:rPr>
            </w:pPr>
            <w:r>
              <w:rPr>
                <w:rFonts w:asciiTheme="minorHAnsi" w:hAnsiTheme="minorHAnsi" w:cstheme="minorHAnsi"/>
              </w:rPr>
              <w:t>Integrante del Consejo de la Judicatura del Estado de Tlaxcala</w:t>
            </w:r>
          </w:p>
        </w:tc>
      </w:tr>
      <w:tr w:rsidR="003C3B24" w:rsidTr="003C3B24">
        <w:trPr>
          <w:trHeight w:val="317"/>
        </w:trPr>
        <w:tc>
          <w:tcPr>
            <w:tcW w:w="4361" w:type="dxa"/>
          </w:tcPr>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r>
              <w:rPr>
                <w:rFonts w:asciiTheme="minorHAnsi" w:hAnsiTheme="minorHAnsi" w:cstheme="minorHAnsi"/>
              </w:rPr>
              <w:t>Lic. Leticia Caballero Muñoz</w:t>
            </w:r>
          </w:p>
          <w:p w:rsidR="003C3B24" w:rsidRDefault="003C3B24">
            <w:pPr>
              <w:spacing w:after="0"/>
              <w:jc w:val="center"/>
              <w:rPr>
                <w:rFonts w:asciiTheme="minorHAnsi" w:hAnsiTheme="minorHAnsi" w:cstheme="minorHAnsi"/>
              </w:rPr>
            </w:pPr>
            <w:r>
              <w:rPr>
                <w:rFonts w:asciiTheme="minorHAnsi" w:hAnsiTheme="minorHAnsi" w:cstheme="minorHAnsi"/>
              </w:rPr>
              <w:t xml:space="preserve">Integrante del Consejo de la Judicatura </w:t>
            </w:r>
          </w:p>
          <w:p w:rsidR="003C3B24" w:rsidRDefault="003C3B24">
            <w:pPr>
              <w:spacing w:after="0"/>
              <w:jc w:val="center"/>
              <w:rPr>
                <w:rFonts w:asciiTheme="minorHAnsi" w:hAnsiTheme="minorHAnsi" w:cstheme="minorHAnsi"/>
              </w:rPr>
            </w:pPr>
            <w:r>
              <w:rPr>
                <w:rFonts w:asciiTheme="minorHAnsi" w:hAnsiTheme="minorHAnsi" w:cstheme="minorHAnsi"/>
              </w:rPr>
              <w:t>del Estado de Tlaxcala</w:t>
            </w:r>
          </w:p>
        </w:tc>
        <w:tc>
          <w:tcPr>
            <w:tcW w:w="283" w:type="dxa"/>
          </w:tcPr>
          <w:p w:rsidR="003C3B24" w:rsidRDefault="003C3B24">
            <w:pPr>
              <w:spacing w:after="0"/>
              <w:jc w:val="both"/>
              <w:rPr>
                <w:rFonts w:asciiTheme="minorHAnsi" w:hAnsiTheme="minorHAnsi" w:cstheme="minorHAnsi"/>
              </w:rPr>
            </w:pPr>
          </w:p>
        </w:tc>
        <w:tc>
          <w:tcPr>
            <w:tcW w:w="3686" w:type="dxa"/>
          </w:tcPr>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r>
              <w:rPr>
                <w:rFonts w:asciiTheme="minorHAnsi" w:hAnsiTheme="minorHAnsi" w:cstheme="minorHAnsi"/>
              </w:rPr>
              <w:t>Lic. Álvaro García Moreno</w:t>
            </w:r>
          </w:p>
          <w:p w:rsidR="003C3B24" w:rsidRDefault="003C3B24">
            <w:pPr>
              <w:spacing w:after="0"/>
              <w:jc w:val="center"/>
              <w:rPr>
                <w:rFonts w:asciiTheme="minorHAnsi" w:hAnsiTheme="minorHAnsi" w:cstheme="minorHAnsi"/>
              </w:rPr>
            </w:pPr>
            <w:r>
              <w:rPr>
                <w:rFonts w:asciiTheme="minorHAnsi" w:hAnsiTheme="minorHAnsi" w:cstheme="minorHAnsi"/>
              </w:rPr>
              <w:t>Integrante del Consejo de la Judicatura</w:t>
            </w:r>
          </w:p>
          <w:p w:rsidR="003C3B24" w:rsidRDefault="003C3B24">
            <w:pPr>
              <w:spacing w:after="0"/>
              <w:jc w:val="center"/>
              <w:rPr>
                <w:rFonts w:asciiTheme="minorHAnsi" w:hAnsiTheme="minorHAnsi" w:cstheme="minorHAnsi"/>
              </w:rPr>
            </w:pPr>
            <w:r>
              <w:rPr>
                <w:rFonts w:asciiTheme="minorHAnsi" w:hAnsiTheme="minorHAnsi" w:cstheme="minorHAnsi"/>
              </w:rPr>
              <w:t xml:space="preserve">del Estado de Tlaxcala  </w:t>
            </w:r>
          </w:p>
        </w:tc>
      </w:tr>
      <w:tr w:rsidR="003C3B24" w:rsidTr="003C3B24">
        <w:trPr>
          <w:trHeight w:val="317"/>
        </w:trPr>
        <w:tc>
          <w:tcPr>
            <w:tcW w:w="4361" w:type="dxa"/>
          </w:tcPr>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r>
              <w:rPr>
                <w:rFonts w:asciiTheme="minorHAnsi" w:hAnsiTheme="minorHAnsi" w:cstheme="minorHAnsi"/>
              </w:rPr>
              <w:t xml:space="preserve">Dra. Mildred </w:t>
            </w:r>
            <w:proofErr w:type="spellStart"/>
            <w:r>
              <w:rPr>
                <w:rFonts w:asciiTheme="minorHAnsi" w:hAnsiTheme="minorHAnsi" w:cstheme="minorHAnsi"/>
              </w:rPr>
              <w:t>Murbartián</w:t>
            </w:r>
            <w:proofErr w:type="spellEnd"/>
            <w:r>
              <w:rPr>
                <w:rFonts w:asciiTheme="minorHAnsi" w:hAnsiTheme="minorHAnsi" w:cstheme="minorHAnsi"/>
              </w:rPr>
              <w:t xml:space="preserve"> Aguilar</w:t>
            </w:r>
          </w:p>
          <w:p w:rsidR="003C3B24" w:rsidRDefault="003C3B24">
            <w:pPr>
              <w:spacing w:after="0"/>
              <w:jc w:val="center"/>
              <w:rPr>
                <w:rFonts w:asciiTheme="minorHAnsi" w:hAnsiTheme="minorHAnsi" w:cstheme="minorHAnsi"/>
              </w:rPr>
            </w:pPr>
            <w:r>
              <w:rPr>
                <w:rFonts w:asciiTheme="minorHAnsi" w:hAnsiTheme="minorHAnsi" w:cstheme="minorHAnsi"/>
              </w:rPr>
              <w:t>Integrante del Consejo de la Judicatura del Estado de Tlaxcala</w:t>
            </w:r>
          </w:p>
        </w:tc>
        <w:tc>
          <w:tcPr>
            <w:tcW w:w="3969" w:type="dxa"/>
            <w:gridSpan w:val="2"/>
          </w:tcPr>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p>
          <w:p w:rsidR="003C3B24" w:rsidRDefault="003C3B24">
            <w:pPr>
              <w:spacing w:after="0"/>
              <w:jc w:val="center"/>
              <w:rPr>
                <w:rFonts w:asciiTheme="minorHAnsi" w:hAnsiTheme="minorHAnsi" w:cstheme="minorHAnsi"/>
              </w:rPr>
            </w:pPr>
            <w:r>
              <w:rPr>
                <w:rFonts w:asciiTheme="minorHAnsi" w:hAnsiTheme="minorHAnsi" w:cstheme="minorHAnsi"/>
              </w:rPr>
              <w:t>José Juan Gilberto De León Escamilla</w:t>
            </w:r>
          </w:p>
          <w:p w:rsidR="003C3B24" w:rsidRDefault="003C3B24">
            <w:pPr>
              <w:spacing w:after="0"/>
              <w:jc w:val="center"/>
              <w:rPr>
                <w:rFonts w:asciiTheme="minorHAnsi" w:hAnsiTheme="minorHAnsi" w:cstheme="minorHAnsi"/>
              </w:rPr>
            </w:pPr>
            <w:r>
              <w:rPr>
                <w:rFonts w:asciiTheme="minorHAnsi" w:hAnsiTheme="minorHAnsi" w:cstheme="minorHAnsi"/>
              </w:rPr>
              <w:t xml:space="preserve">Secretario Ejecutivo del Consejo </w:t>
            </w:r>
          </w:p>
          <w:p w:rsidR="003C3B24" w:rsidRDefault="003C3B24">
            <w:pPr>
              <w:spacing w:after="0"/>
              <w:jc w:val="center"/>
              <w:rPr>
                <w:rFonts w:asciiTheme="minorHAnsi" w:hAnsiTheme="minorHAnsi" w:cstheme="minorHAnsi"/>
              </w:rPr>
            </w:pPr>
            <w:r>
              <w:rPr>
                <w:rFonts w:asciiTheme="minorHAnsi" w:hAnsiTheme="minorHAnsi" w:cstheme="minorHAnsi"/>
              </w:rPr>
              <w:t xml:space="preserve">de la Judicatura del </w:t>
            </w:r>
          </w:p>
          <w:p w:rsidR="003C3B24" w:rsidRDefault="003C3B24">
            <w:pPr>
              <w:spacing w:after="0"/>
              <w:jc w:val="center"/>
              <w:rPr>
                <w:rFonts w:asciiTheme="minorHAnsi" w:hAnsiTheme="minorHAnsi" w:cstheme="minorHAnsi"/>
              </w:rPr>
            </w:pPr>
            <w:r>
              <w:rPr>
                <w:rFonts w:asciiTheme="minorHAnsi" w:hAnsiTheme="minorHAnsi" w:cstheme="minorHAnsi"/>
              </w:rPr>
              <w:t xml:space="preserve">Estado de Tlaxcala  </w:t>
            </w:r>
          </w:p>
        </w:tc>
      </w:tr>
    </w:tbl>
    <w:p w:rsidR="003C3B24" w:rsidRDefault="003C3B24" w:rsidP="003C3B24">
      <w:pPr>
        <w:spacing w:after="0" w:line="480" w:lineRule="auto"/>
        <w:ind w:firstLine="708"/>
        <w:jc w:val="both"/>
        <w:rPr>
          <w:rFonts w:asciiTheme="minorHAnsi" w:eastAsia="Batang" w:hAnsiTheme="minorHAnsi" w:cstheme="minorHAnsi"/>
        </w:rPr>
      </w:pPr>
    </w:p>
    <w:p w:rsidR="003C3B24" w:rsidRDefault="003C3B24" w:rsidP="003C3B24">
      <w:pPr>
        <w:spacing w:after="0" w:line="480" w:lineRule="auto"/>
        <w:ind w:firstLine="708"/>
        <w:jc w:val="both"/>
        <w:rPr>
          <w:rFonts w:asciiTheme="minorHAnsi" w:eastAsia="Batang" w:hAnsiTheme="minorHAnsi" w:cstheme="minorHAnsi"/>
        </w:rPr>
      </w:pPr>
    </w:p>
    <w:p w:rsidR="003C3B24" w:rsidRDefault="003C3B24" w:rsidP="003C3B24">
      <w:pPr>
        <w:spacing w:after="0" w:line="480" w:lineRule="auto"/>
        <w:ind w:firstLine="708"/>
        <w:jc w:val="both"/>
        <w:rPr>
          <w:rFonts w:asciiTheme="minorHAnsi" w:eastAsia="Batang" w:hAnsiTheme="minorHAnsi" w:cstheme="minorHAnsi"/>
        </w:rPr>
      </w:pPr>
      <w:r>
        <w:rPr>
          <w:rFonts w:asciiTheme="minorHAnsi" w:eastAsia="Batang" w:hAnsiTheme="minorHAnsi" w:cstheme="minorHAnsi"/>
        </w:rPr>
        <w:tab/>
      </w:r>
    </w:p>
    <w:p w:rsidR="003C3B24" w:rsidRDefault="003C3B24" w:rsidP="003C3B24">
      <w:pPr>
        <w:spacing w:after="0" w:line="480" w:lineRule="auto"/>
        <w:ind w:firstLine="708"/>
        <w:jc w:val="both"/>
        <w:rPr>
          <w:rFonts w:asciiTheme="minorHAnsi" w:eastAsia="Batang" w:hAnsiTheme="minorHAnsi" w:cstheme="minorHAnsi"/>
        </w:rPr>
      </w:pPr>
    </w:p>
    <w:p w:rsidR="00384C1B" w:rsidRPr="003C3B24" w:rsidRDefault="00384C1B" w:rsidP="003C3B24"/>
    <w:sectPr w:rsidR="00384C1B" w:rsidRPr="003C3B24"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3B1" w:rsidRDefault="00BA43B1" w:rsidP="004567A4">
      <w:pPr>
        <w:spacing w:after="0" w:line="240" w:lineRule="auto"/>
      </w:pPr>
      <w:r>
        <w:separator/>
      </w:r>
    </w:p>
  </w:endnote>
  <w:endnote w:type="continuationSeparator" w:id="0">
    <w:p w:rsidR="00BA43B1" w:rsidRDefault="00BA43B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Content>
      <w:p w:rsidR="00D276B8" w:rsidRDefault="00D276B8">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D276B8" w:rsidRDefault="00D276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3B1" w:rsidRDefault="00BA43B1" w:rsidP="004567A4">
      <w:pPr>
        <w:spacing w:after="0" w:line="240" w:lineRule="auto"/>
      </w:pPr>
      <w:r>
        <w:separator/>
      </w:r>
    </w:p>
  </w:footnote>
  <w:footnote w:type="continuationSeparator" w:id="0">
    <w:p w:rsidR="00BA43B1" w:rsidRDefault="00BA43B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6B8" w:rsidRDefault="00D276B8">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4"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3"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11"/>
  </w:num>
  <w:num w:numId="3">
    <w:abstractNumId w:val="38"/>
  </w:num>
  <w:num w:numId="4">
    <w:abstractNumId w:val="14"/>
  </w:num>
  <w:num w:numId="5">
    <w:abstractNumId w:val="15"/>
  </w:num>
  <w:num w:numId="6">
    <w:abstractNumId w:val="18"/>
  </w:num>
  <w:num w:numId="7">
    <w:abstractNumId w:val="37"/>
  </w:num>
  <w:num w:numId="8">
    <w:abstractNumId w:val="7"/>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13"/>
  </w:num>
  <w:num w:numId="14">
    <w:abstractNumId w:val="32"/>
  </w:num>
  <w:num w:numId="15">
    <w:abstractNumId w:val="33"/>
  </w:num>
  <w:num w:numId="16">
    <w:abstractNumId w:val="36"/>
  </w:num>
  <w:num w:numId="17">
    <w:abstractNumId w:val="23"/>
  </w:num>
  <w:num w:numId="18">
    <w:abstractNumId w:val="1"/>
  </w:num>
  <w:num w:numId="19">
    <w:abstractNumId w:val="16"/>
  </w:num>
  <w:num w:numId="20">
    <w:abstractNumId w:val="22"/>
  </w:num>
  <w:num w:numId="21">
    <w:abstractNumId w:val="34"/>
  </w:num>
  <w:num w:numId="22">
    <w:abstractNumId w:val="3"/>
  </w:num>
  <w:num w:numId="23">
    <w:abstractNumId w:val="9"/>
  </w:num>
  <w:num w:numId="24">
    <w:abstractNumId w:val="29"/>
  </w:num>
  <w:num w:numId="25">
    <w:abstractNumId w:val="0"/>
  </w:num>
  <w:num w:numId="26">
    <w:abstractNumId w:val="12"/>
  </w:num>
  <w:num w:numId="27">
    <w:abstractNumId w:val="5"/>
  </w:num>
  <w:num w:numId="28">
    <w:abstractNumId w:val="4"/>
  </w:num>
  <w:num w:numId="29">
    <w:abstractNumId w:val="8"/>
  </w:num>
  <w:num w:numId="30">
    <w:abstractNumId w:val="28"/>
  </w:num>
  <w:num w:numId="31">
    <w:abstractNumId w:val="6"/>
  </w:num>
  <w:num w:numId="32">
    <w:abstractNumId w:val="21"/>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27"/>
  </w:num>
  <w:num w:numId="38">
    <w:abstractNumId w:val="19"/>
  </w:num>
  <w:num w:numId="39">
    <w:abstractNumId w:val="25"/>
  </w:num>
  <w:num w:numId="40">
    <w:abstractNumId w:val="10"/>
  </w:num>
  <w:num w:numId="41">
    <w:abstractNumId w:val="20"/>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33C7"/>
    <w:rsid w:val="000E36CD"/>
    <w:rsid w:val="000E3DAE"/>
    <w:rsid w:val="000E78D5"/>
    <w:rsid w:val="000F0252"/>
    <w:rsid w:val="000F0287"/>
    <w:rsid w:val="000F23BD"/>
    <w:rsid w:val="000F43B1"/>
    <w:rsid w:val="000F4C5E"/>
    <w:rsid w:val="000F4F80"/>
    <w:rsid w:val="001001F1"/>
    <w:rsid w:val="00100595"/>
    <w:rsid w:val="001007D3"/>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310"/>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37300"/>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8BA"/>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245"/>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43B1"/>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26F83"/>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B1"/>
    <w:rsid w:val="00CB10F7"/>
    <w:rsid w:val="00CB19E4"/>
    <w:rsid w:val="00CB3CFF"/>
    <w:rsid w:val="00CB6740"/>
    <w:rsid w:val="00CB7E06"/>
    <w:rsid w:val="00CC059D"/>
    <w:rsid w:val="00CC149F"/>
    <w:rsid w:val="00CC1533"/>
    <w:rsid w:val="00CC1BDE"/>
    <w:rsid w:val="00CC30BB"/>
    <w:rsid w:val="00CC69C9"/>
    <w:rsid w:val="00CD1A5D"/>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6B8"/>
    <w:rsid w:val="00D27C98"/>
    <w:rsid w:val="00D30398"/>
    <w:rsid w:val="00D309D0"/>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A5AEB"/>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2B77B"/>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B559-77E5-4182-88D8-ECEB4D16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1766</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cp:revision>
  <cp:lastPrinted>2019-09-13T16:24:00Z</cp:lastPrinted>
  <dcterms:created xsi:type="dcterms:W3CDTF">2019-09-10T15:50:00Z</dcterms:created>
  <dcterms:modified xsi:type="dcterms:W3CDTF">2019-09-13T16:27:00Z</dcterms:modified>
</cp:coreProperties>
</file>