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0ABF0E85"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 xml:space="preserve">ACTA DE SESIÓN </w:t>
      </w:r>
      <w:r w:rsidR="00557A9F" w:rsidRPr="00BA4AE5">
        <w:rPr>
          <w:rFonts w:asciiTheme="minorHAnsi" w:hAnsiTheme="minorHAnsi" w:cstheme="minorHAnsi"/>
          <w:b/>
        </w:rPr>
        <w:t>EXTRA</w:t>
      </w:r>
      <w:r w:rsidRPr="00BA4AE5">
        <w:rPr>
          <w:rFonts w:asciiTheme="minorHAnsi" w:hAnsiTheme="minorHAnsi" w:cstheme="minorHAnsi"/>
          <w:b/>
        </w:rPr>
        <w:t>ORDINARIA PRIVADA DEL CONSEJO DE LA JUDICATURA DEL ESTADO DE TLAXCALA, CELEBRADA A LAS</w:t>
      </w:r>
      <w:r w:rsidR="00557A9F" w:rsidRPr="00BA4AE5">
        <w:rPr>
          <w:rFonts w:asciiTheme="minorHAnsi" w:hAnsiTheme="minorHAnsi" w:cstheme="minorHAnsi"/>
          <w:b/>
        </w:rPr>
        <w:t xml:space="preserve"> </w:t>
      </w:r>
      <w:r w:rsidR="00BD4B92" w:rsidRPr="00BA4AE5">
        <w:rPr>
          <w:rFonts w:asciiTheme="minorHAnsi" w:hAnsiTheme="minorHAnsi" w:cstheme="minorHAnsi"/>
          <w:b/>
        </w:rPr>
        <w:t xml:space="preserve">DOCE </w:t>
      </w:r>
      <w:r w:rsidRPr="00BA4AE5">
        <w:rPr>
          <w:rFonts w:asciiTheme="minorHAnsi" w:hAnsiTheme="minorHAnsi" w:cstheme="minorHAnsi"/>
          <w:b/>
        </w:rPr>
        <w:t>HORAS</w:t>
      </w:r>
      <w:r w:rsidR="00BD4B92" w:rsidRPr="00BA4AE5">
        <w:rPr>
          <w:rFonts w:asciiTheme="minorHAnsi" w:hAnsiTheme="minorHAnsi" w:cstheme="minorHAnsi"/>
          <w:b/>
        </w:rPr>
        <w:t xml:space="preserve">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7E0C2F">
        <w:rPr>
          <w:rFonts w:asciiTheme="minorHAnsi" w:hAnsiTheme="minorHAnsi" w:cstheme="minorHAnsi"/>
          <w:b/>
        </w:rPr>
        <w:t>DIEZ</w:t>
      </w:r>
      <w:r w:rsidR="00557A9F" w:rsidRPr="00BA4AE5">
        <w:rPr>
          <w:rFonts w:asciiTheme="minorHAnsi" w:hAnsiTheme="minorHAnsi" w:cstheme="minorHAnsi"/>
          <w:b/>
        </w:rPr>
        <w:t xml:space="preserve"> DE AGOSTO </w:t>
      </w:r>
      <w:r w:rsidRPr="00BA4AE5">
        <w:rPr>
          <w:rFonts w:asciiTheme="minorHAnsi" w:hAnsiTheme="minorHAnsi" w:cstheme="minorHAnsi"/>
          <w:b/>
        </w:rPr>
        <w:t xml:space="preserve">DEL AÑO DOS MIL </w:t>
      </w:r>
      <w:r w:rsidR="003F4F6B" w:rsidRPr="00BA4AE5">
        <w:rPr>
          <w:rFonts w:asciiTheme="minorHAnsi" w:hAnsiTheme="minorHAnsi" w:cstheme="minorHAnsi"/>
          <w:b/>
        </w:rPr>
        <w:t>VEINTE</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A67131" w:rsidRPr="00BA4AE5">
        <w:rPr>
          <w:rFonts w:asciiTheme="minorHAnsi" w:hAnsiTheme="minorHAnsi" w:cstheme="minorHAnsi"/>
          <w:b/>
        </w:rPr>
        <w:t xml:space="preserve">PALACIO DE JUSTICIA, CIUDAD DE TLAXCALA,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p w14:paraId="4E799998" w14:textId="6D29A5C4" w:rsidR="00A67131" w:rsidRPr="00BA4AE5" w:rsidRDefault="00A67131" w:rsidP="00455D35">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2" w:name="_Hlk45529323"/>
      <w:bookmarkStart w:id="3" w:name="_Hlk45534259"/>
      <w:r w:rsidRPr="00BA4AE5">
        <w:rPr>
          <w:rFonts w:asciiTheme="minorHAnsi" w:hAnsiTheme="minorHAnsi" w:cstheme="minorHAnsi"/>
          <w:sz w:val="22"/>
          <w:szCs w:val="22"/>
        </w:rPr>
        <w:t xml:space="preserve">Verificación del quórum.  - - - - - - - - - - - - - - - - - - - - - - - - - - - - - - - - - - - - - - - - </w:t>
      </w:r>
    </w:p>
    <w:p w14:paraId="2A062FD7" w14:textId="3E204150" w:rsidR="00A67131" w:rsidRPr="00BA4AE5" w:rsidRDefault="00A67131" w:rsidP="00455D35">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BA4AE5">
        <w:rPr>
          <w:rFonts w:asciiTheme="minorHAnsi" w:eastAsia="Batang" w:hAnsiTheme="minorHAnsi" w:cstheme="minorHAnsi"/>
          <w:sz w:val="22"/>
          <w:szCs w:val="22"/>
        </w:rPr>
        <w:t xml:space="preserve">Análisis, discusión y determinación del oficio número </w:t>
      </w:r>
      <w:r w:rsidR="000A45E7">
        <w:rPr>
          <w:rFonts w:asciiTheme="minorHAnsi" w:eastAsia="Batang" w:hAnsiTheme="minorHAnsi" w:cstheme="minorHAnsi"/>
          <w:sz w:val="22"/>
          <w:szCs w:val="22"/>
        </w:rPr>
        <w:t>1032/2020</w:t>
      </w:r>
      <w:r w:rsidRPr="00BA4AE5">
        <w:rPr>
          <w:rFonts w:asciiTheme="minorHAnsi" w:eastAsia="Batang" w:hAnsiTheme="minorHAnsi" w:cstheme="minorHAnsi"/>
          <w:sz w:val="22"/>
          <w:szCs w:val="22"/>
        </w:rPr>
        <w:t xml:space="preserve">, de fecha </w:t>
      </w:r>
      <w:r w:rsidR="000A45E7">
        <w:rPr>
          <w:rFonts w:asciiTheme="minorHAnsi" w:eastAsia="Batang" w:hAnsiTheme="minorHAnsi" w:cstheme="minorHAnsi"/>
          <w:sz w:val="22"/>
          <w:szCs w:val="22"/>
        </w:rPr>
        <w:t xml:space="preserve">diez de agosto </w:t>
      </w:r>
      <w:r w:rsidRPr="00BA4AE5">
        <w:rPr>
          <w:rFonts w:asciiTheme="minorHAnsi" w:eastAsia="Batang" w:hAnsiTheme="minorHAnsi" w:cstheme="minorHAnsi"/>
          <w:sz w:val="22"/>
          <w:szCs w:val="22"/>
        </w:rPr>
        <w:t xml:space="preserve">de dos mil veinte, signado por </w:t>
      </w:r>
      <w:r w:rsidR="000A45E7">
        <w:rPr>
          <w:rFonts w:asciiTheme="minorHAnsi" w:eastAsia="Batang" w:hAnsiTheme="minorHAnsi" w:cstheme="minorHAnsi"/>
          <w:sz w:val="22"/>
          <w:szCs w:val="22"/>
        </w:rPr>
        <w:t>la Encargada de la Subprocuraduría de Operaciones, en términos del artículo 42 fracción II de la Ley Orgánica de la Institución del Ministerio Público del Estado de Tlaxcala</w:t>
      </w:r>
      <w:r w:rsidRPr="00BA4AE5">
        <w:rPr>
          <w:rFonts w:asciiTheme="minorHAnsi" w:eastAsia="Batang" w:hAnsiTheme="minorHAnsi" w:cstheme="minorHAnsi"/>
          <w:sz w:val="22"/>
          <w:szCs w:val="22"/>
        </w:rPr>
        <w:t xml:space="preserve">. - - - - - - - - - - - - - - - - - </w:t>
      </w:r>
    </w:p>
    <w:bookmarkEnd w:id="1"/>
    <w:bookmarkEnd w:id="2"/>
    <w:bookmarkEnd w:id="3"/>
    <w:p w14:paraId="2089894B" w14:textId="58D6F907"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4"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4"/>
    <w:p w14:paraId="572129FD" w14:textId="77777777"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President</w:t>
      </w:r>
      <w:r w:rsidR="00070776" w:rsidRPr="00BA4AE5">
        <w:rPr>
          <w:rFonts w:asciiTheme="minorHAnsi" w:hAnsiTheme="minorHAnsi" w:cstheme="minorHAnsi"/>
        </w:rPr>
        <w:t>e</w:t>
      </w:r>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 xml:space="preserve">integrantes de este Consejo; lo anterior, en términos del artículo 67 segundo párrafo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2E54C479"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Pr="00BA4AE5">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BA4AE5">
        <w:rPr>
          <w:rFonts w:asciiTheme="minorHAnsi" w:hAnsiTheme="minorHAnsi" w:cstheme="minorHAnsi"/>
        </w:rPr>
        <w:t xml:space="preserve">- - - - - - </w:t>
      </w:r>
    </w:p>
    <w:p w14:paraId="4B71E1AE" w14:textId="47A0A1D0" w:rsidR="00B34419" w:rsidRPr="00BA4AE5" w:rsidRDefault="0038284C" w:rsidP="00B34419">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bookmarkStart w:id="5" w:name="_Hlk44088990"/>
      <w:r w:rsidRPr="00BA4AE5">
        <w:rPr>
          <w:rFonts w:asciiTheme="minorHAnsi" w:hAnsiTheme="minorHAnsi" w:cstheme="minorHAnsi"/>
          <w:b/>
          <w:bCs/>
          <w:sz w:val="22"/>
          <w:szCs w:val="22"/>
        </w:rPr>
        <w:t>ACUERDO II/</w:t>
      </w:r>
      <w:r w:rsidR="00963D7A" w:rsidRPr="00BA4AE5">
        <w:rPr>
          <w:rFonts w:asciiTheme="minorHAnsi" w:hAnsiTheme="minorHAnsi" w:cstheme="minorHAnsi"/>
          <w:b/>
          <w:bCs/>
          <w:sz w:val="22"/>
          <w:szCs w:val="22"/>
        </w:rPr>
        <w:t>3</w:t>
      </w:r>
      <w:r w:rsidR="00914ED0">
        <w:rPr>
          <w:rFonts w:asciiTheme="minorHAnsi" w:hAnsiTheme="minorHAnsi" w:cstheme="minorHAnsi"/>
          <w:b/>
          <w:bCs/>
          <w:sz w:val="22"/>
          <w:szCs w:val="22"/>
        </w:rPr>
        <w:t>9</w:t>
      </w:r>
      <w:r w:rsidRPr="00BA4AE5">
        <w:rPr>
          <w:rFonts w:asciiTheme="minorHAnsi" w:hAnsiTheme="minorHAnsi" w:cstheme="minorHAnsi"/>
          <w:b/>
          <w:bCs/>
          <w:sz w:val="22"/>
          <w:szCs w:val="22"/>
        </w:rPr>
        <w:t>/2020</w:t>
      </w:r>
      <w:bookmarkEnd w:id="5"/>
      <w:r w:rsidR="00B34419" w:rsidRPr="00BA4AE5">
        <w:rPr>
          <w:rFonts w:asciiTheme="minorHAnsi" w:hAnsiTheme="minorHAnsi" w:cstheme="minorHAnsi"/>
          <w:b/>
          <w:bCs/>
          <w:sz w:val="22"/>
          <w:szCs w:val="22"/>
        </w:rPr>
        <w:t xml:space="preserve">. </w:t>
      </w:r>
      <w:r w:rsidR="000A45E7" w:rsidRPr="000A45E7">
        <w:rPr>
          <w:rFonts w:asciiTheme="minorHAnsi" w:eastAsia="Batang" w:hAnsiTheme="minorHAnsi" w:cstheme="minorHAnsi"/>
          <w:b/>
          <w:bCs/>
          <w:sz w:val="22"/>
          <w:szCs w:val="22"/>
        </w:rPr>
        <w:t xml:space="preserve">Oficio número 1032/2020, de fecha diez de agosto de dos mil veinte, signado por la Encargada de la Subprocuraduría de Operaciones, en </w:t>
      </w:r>
      <w:r w:rsidR="000A45E7" w:rsidRPr="000A45E7">
        <w:rPr>
          <w:rFonts w:asciiTheme="minorHAnsi" w:eastAsia="Batang" w:hAnsiTheme="minorHAnsi" w:cstheme="minorHAnsi"/>
          <w:b/>
          <w:bCs/>
          <w:sz w:val="22"/>
          <w:szCs w:val="22"/>
        </w:rPr>
        <w:lastRenderedPageBreak/>
        <w:t>términos del artículo 42 fracción II de la Ley Orgánica de la Institución del Ministerio Público del Estado de Tlaxcala.</w:t>
      </w:r>
      <w:r w:rsidR="00B34419" w:rsidRPr="00BA4AE5">
        <w:rPr>
          <w:rFonts w:asciiTheme="minorHAnsi" w:eastAsia="Batang" w:hAnsiTheme="minorHAnsi" w:cstheme="minorHAnsi"/>
          <w:b/>
          <w:bCs/>
          <w:sz w:val="22"/>
          <w:szCs w:val="22"/>
        </w:rPr>
        <w:t xml:space="preserve"> - - - - - - - - - - - - - - - - - - - - - - - - - - - - - - - - - - - - - - - - - - </w:t>
      </w:r>
    </w:p>
    <w:p w14:paraId="20F3CAF2" w14:textId="76F95060" w:rsidR="00916F01" w:rsidRDefault="00B34419" w:rsidP="00B34419">
      <w:pPr>
        <w:pStyle w:val="NormalWeb"/>
        <w:spacing w:before="0" w:beforeAutospacing="0" w:after="0" w:afterAutospacing="0" w:line="480" w:lineRule="auto"/>
        <w:jc w:val="both"/>
        <w:rPr>
          <w:rFonts w:asciiTheme="minorHAnsi" w:eastAsia="Batang" w:hAnsiTheme="minorHAnsi" w:cstheme="minorHAnsi"/>
          <w:i/>
          <w:iCs/>
          <w:sz w:val="22"/>
          <w:szCs w:val="22"/>
        </w:rPr>
      </w:pPr>
      <w:r w:rsidRPr="00BA4AE5">
        <w:rPr>
          <w:rFonts w:asciiTheme="minorHAnsi" w:eastAsia="Batang" w:hAnsiTheme="minorHAnsi" w:cstheme="minorHAnsi"/>
          <w:i/>
          <w:iCs/>
          <w:sz w:val="22"/>
          <w:szCs w:val="22"/>
        </w:rPr>
        <w:t>Dada cuenta con el oficio número</w:t>
      </w:r>
      <w:r w:rsidR="00916F01">
        <w:rPr>
          <w:rFonts w:asciiTheme="minorHAnsi" w:eastAsia="Batang" w:hAnsiTheme="minorHAnsi" w:cstheme="minorHAnsi"/>
          <w:i/>
          <w:iCs/>
          <w:sz w:val="22"/>
          <w:szCs w:val="22"/>
        </w:rPr>
        <w:t xml:space="preserve"> </w:t>
      </w:r>
      <w:r w:rsidR="000A45E7">
        <w:rPr>
          <w:rFonts w:asciiTheme="minorHAnsi" w:eastAsia="Batang" w:hAnsiTheme="minorHAnsi" w:cstheme="minorHAnsi"/>
          <w:i/>
          <w:iCs/>
          <w:sz w:val="22"/>
          <w:szCs w:val="22"/>
        </w:rPr>
        <w:t xml:space="preserve">1032 </w:t>
      </w:r>
      <w:r w:rsidR="000A45E7" w:rsidRPr="000A45E7">
        <w:rPr>
          <w:rFonts w:asciiTheme="minorHAnsi" w:eastAsia="Batang" w:hAnsiTheme="minorHAnsi" w:cstheme="minorHAnsi"/>
          <w:i/>
          <w:iCs/>
          <w:sz w:val="22"/>
          <w:szCs w:val="22"/>
        </w:rPr>
        <w:t>de fecha diez de agosto de dos mil veinte, signado por la Encargada de la Subprocuraduría de Operaciones, en términos del artículo 42 fracción II de la Ley Orgánica de la Institución del Ministerio Público del Estado de Tlaxcala</w:t>
      </w:r>
      <w:r w:rsidR="00916F01">
        <w:rPr>
          <w:rFonts w:asciiTheme="minorHAnsi" w:eastAsia="Batang" w:hAnsiTheme="minorHAnsi" w:cstheme="minorHAnsi"/>
          <w:i/>
          <w:iCs/>
          <w:sz w:val="22"/>
          <w:szCs w:val="22"/>
        </w:rPr>
        <w:t xml:space="preserve">; al respecto, en relación con las medidas adoptadas para </w:t>
      </w:r>
      <w:r w:rsidR="00F8430E">
        <w:rPr>
          <w:rFonts w:asciiTheme="minorHAnsi" w:eastAsia="Batang" w:hAnsiTheme="minorHAnsi" w:cstheme="minorHAnsi"/>
          <w:i/>
          <w:iCs/>
          <w:sz w:val="22"/>
          <w:szCs w:val="22"/>
        </w:rPr>
        <w:t>garantizar el derecho a la salud de las personas servidoras públicas del Poder Judicial del Estado de Tlaxcala y los  usuarios de los servicios que éste proporciona</w:t>
      </w:r>
      <w:r w:rsidR="00916F01">
        <w:rPr>
          <w:rFonts w:asciiTheme="minorHAnsi" w:eastAsia="Batang" w:hAnsiTheme="minorHAnsi" w:cstheme="minorHAnsi"/>
          <w:i/>
          <w:iCs/>
          <w:sz w:val="22"/>
          <w:szCs w:val="22"/>
        </w:rPr>
        <w:t xml:space="preserve"> y con base en las determinaciones emitidas por este órgano colegiado, se precisa lo siguiente: </w:t>
      </w:r>
    </w:p>
    <w:p w14:paraId="38CEF3E4" w14:textId="1D09822B" w:rsidR="00F8430E" w:rsidRPr="00F8430E" w:rsidRDefault="00916F01" w:rsidP="00455D35">
      <w:pPr>
        <w:pStyle w:val="Prrafodelista"/>
        <w:numPr>
          <w:ilvl w:val="0"/>
          <w:numId w:val="2"/>
        </w:numPr>
        <w:shd w:val="clear" w:color="auto" w:fill="FFFFFF"/>
        <w:spacing w:after="0" w:line="480" w:lineRule="auto"/>
        <w:ind w:left="0" w:right="51" w:firstLine="709"/>
        <w:jc w:val="both"/>
        <w:outlineLvl w:val="0"/>
        <w:rPr>
          <w:rFonts w:cs="Calibri"/>
          <w:b/>
          <w:i/>
          <w:iCs/>
        </w:rPr>
      </w:pPr>
      <w:r>
        <w:rPr>
          <w:rFonts w:asciiTheme="minorHAnsi" w:eastAsia="Batang" w:hAnsiTheme="minorHAnsi" w:cstheme="minorHAnsi"/>
          <w:i/>
          <w:iCs/>
        </w:rPr>
        <w:t xml:space="preserve">Mediante </w:t>
      </w:r>
      <w:r w:rsidRPr="00F8430E">
        <w:rPr>
          <w:rFonts w:asciiTheme="minorHAnsi" w:eastAsia="Batang" w:hAnsiTheme="minorHAnsi" w:cstheme="minorHAnsi"/>
          <w:b/>
          <w:bCs/>
          <w:i/>
          <w:iCs/>
        </w:rPr>
        <w:t>Acuerdo II/16/2020</w:t>
      </w:r>
      <w:r>
        <w:rPr>
          <w:rFonts w:asciiTheme="minorHAnsi" w:eastAsia="Batang" w:hAnsiTheme="minorHAnsi" w:cstheme="minorHAnsi"/>
          <w:i/>
          <w:iCs/>
        </w:rPr>
        <w:t xml:space="preserve">, aprobado en sesión ordinaria celebrada el veinte de marzo de dos mil veinte, </w:t>
      </w:r>
      <w:r w:rsidR="00F8430E">
        <w:rPr>
          <w:rFonts w:asciiTheme="minorHAnsi" w:eastAsia="Batang" w:hAnsiTheme="minorHAnsi" w:cstheme="minorHAnsi"/>
          <w:i/>
          <w:iCs/>
        </w:rPr>
        <w:t xml:space="preserve">se declaró como días inhábiles sin suspensión de labores a partir del lunes veintitrés de marzo al domingo diecinueve de abril de dos mil veinte; en consecuencia, se declaró la suspensión de los términos y plazos respectivos durante dicho periodo y se determinó </w:t>
      </w:r>
      <w:r w:rsidR="00F8430E" w:rsidRPr="00F8430E">
        <w:rPr>
          <w:rFonts w:asciiTheme="minorHAnsi" w:eastAsia="Batang" w:hAnsiTheme="minorHAnsi" w:cstheme="minorHAnsi"/>
          <w:i/>
          <w:iCs/>
        </w:rPr>
        <w:t xml:space="preserve">que </w:t>
      </w:r>
      <w:r w:rsidR="00F8430E" w:rsidRPr="00F8430E">
        <w:rPr>
          <w:rFonts w:eastAsia="Batang" w:cs="Calibri"/>
          <w:i/>
          <w:iCs/>
        </w:rPr>
        <w:t>para la atención de asuntos urgentes debían establecerse las guardias correspondientes</w:t>
      </w:r>
      <w:r w:rsidR="00F8430E" w:rsidRPr="00785AB8">
        <w:rPr>
          <w:rFonts w:eastAsia="Batang" w:cs="Calibri"/>
          <w:i/>
          <w:iCs/>
        </w:rPr>
        <w:t xml:space="preserve"> en </w:t>
      </w:r>
      <w:r w:rsidR="00F8430E">
        <w:rPr>
          <w:rFonts w:eastAsia="Batang" w:cs="Calibri"/>
          <w:i/>
          <w:iCs/>
        </w:rPr>
        <w:t>el</w:t>
      </w:r>
      <w:r w:rsidR="00F8430E" w:rsidRPr="00785AB8">
        <w:rPr>
          <w:rFonts w:eastAsia="Batang" w:cs="Calibri"/>
          <w:i/>
          <w:iCs/>
        </w:rPr>
        <w:t xml:space="preserve"> Juzgado Penal del Distrito Judicial de Guridi y Alcocer, así como </w:t>
      </w:r>
      <w:r w:rsidR="00F8430E">
        <w:rPr>
          <w:rFonts w:eastAsia="Batang" w:cs="Calibri"/>
          <w:i/>
          <w:iCs/>
        </w:rPr>
        <w:t xml:space="preserve">en </w:t>
      </w:r>
      <w:r w:rsidR="00F8430E" w:rsidRPr="00785AB8">
        <w:rPr>
          <w:rFonts w:eastAsia="Batang" w:cs="Calibri"/>
          <w:i/>
          <w:iCs/>
        </w:rPr>
        <w:t xml:space="preserve">el </w:t>
      </w:r>
      <w:r w:rsidR="00F8430E" w:rsidRPr="00785AB8">
        <w:rPr>
          <w:rFonts w:cs="Calibri"/>
          <w:i/>
          <w:iCs/>
        </w:rPr>
        <w:t>Penal del Distrito Judicial de Sánchez Piedras y Especializado en Administración de Justicia para Adolescentes;</w:t>
      </w:r>
      <w:r w:rsidR="00F8430E" w:rsidRPr="00785AB8">
        <w:rPr>
          <w:rFonts w:eastAsia="Batang" w:cs="Calibri"/>
          <w:i/>
          <w:iCs/>
        </w:rPr>
        <w:t xml:space="preserve"> </w:t>
      </w:r>
      <w:r w:rsidR="00F8430E">
        <w:rPr>
          <w:rFonts w:eastAsia="Batang" w:cs="Calibri"/>
          <w:i/>
          <w:iCs/>
        </w:rPr>
        <w:t>a</w:t>
      </w:r>
      <w:r w:rsidR="00F8430E" w:rsidRPr="00785AB8">
        <w:rPr>
          <w:rFonts w:cs="Calibri"/>
          <w:i/>
          <w:iCs/>
        </w:rPr>
        <w:t>simismo, atendiendo a lo previsto en el artículo 94 del Código Nacional de Procedimientos Penales, en los 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p>
    <w:p w14:paraId="17DE033D" w14:textId="44D17414" w:rsidR="004B5B50" w:rsidRPr="004B5B50" w:rsidRDefault="004B5B50" w:rsidP="00455D35">
      <w:pPr>
        <w:pStyle w:val="Prrafodelista"/>
        <w:numPr>
          <w:ilvl w:val="0"/>
          <w:numId w:val="2"/>
        </w:numPr>
        <w:shd w:val="clear" w:color="auto" w:fill="FFFFFF"/>
        <w:spacing w:after="0" w:line="480" w:lineRule="auto"/>
        <w:ind w:left="0" w:firstLine="709"/>
        <w:jc w:val="both"/>
        <w:rPr>
          <w:rFonts w:asciiTheme="minorHAnsi" w:hAnsiTheme="minorHAnsi" w:cstheme="minorHAnsi"/>
          <w:i/>
          <w:iCs/>
          <w:color w:val="000000"/>
        </w:rPr>
      </w:pPr>
      <w:r>
        <w:rPr>
          <w:rFonts w:asciiTheme="minorHAnsi" w:hAnsiTheme="minorHAnsi" w:cstheme="minorHAnsi"/>
          <w:i/>
          <w:iCs/>
          <w:color w:val="000000"/>
        </w:rPr>
        <w:t xml:space="preserve">Mediante </w:t>
      </w:r>
      <w:r>
        <w:rPr>
          <w:rFonts w:asciiTheme="minorHAnsi" w:hAnsiTheme="minorHAnsi" w:cstheme="minorHAnsi"/>
          <w:b/>
          <w:bCs/>
          <w:i/>
          <w:iCs/>
          <w:color w:val="000000"/>
        </w:rPr>
        <w:t xml:space="preserve">Acuerdo II/18/2020, </w:t>
      </w:r>
      <w:r>
        <w:rPr>
          <w:rFonts w:asciiTheme="minorHAnsi" w:hAnsiTheme="minorHAnsi" w:cstheme="minorHAnsi"/>
          <w:i/>
          <w:iCs/>
          <w:color w:val="000000"/>
        </w:rPr>
        <w:t>de sesión extraordinaria celebrada el treinta de marzo de dos mil veinte, se declaró la suspensión de labores y se ratificó la guardia de los juzgados en materia penal, en los términos que fueron determinados en el Acuerdo II/16/2020.</w:t>
      </w:r>
    </w:p>
    <w:p w14:paraId="34F16E0C" w14:textId="19EF5A44" w:rsidR="00F8430E" w:rsidRPr="00F8430E" w:rsidRDefault="00F8430E" w:rsidP="00455D35">
      <w:pPr>
        <w:pStyle w:val="Prrafodelista"/>
        <w:numPr>
          <w:ilvl w:val="0"/>
          <w:numId w:val="2"/>
        </w:numPr>
        <w:shd w:val="clear" w:color="auto" w:fill="FFFFFF"/>
        <w:spacing w:after="0" w:line="480" w:lineRule="auto"/>
        <w:ind w:left="0" w:firstLine="709"/>
        <w:jc w:val="both"/>
        <w:rPr>
          <w:rFonts w:asciiTheme="minorHAnsi" w:hAnsiTheme="minorHAnsi" w:cstheme="minorHAnsi"/>
          <w:i/>
          <w:iCs/>
          <w:color w:val="000000"/>
        </w:rPr>
      </w:pPr>
      <w:r w:rsidRPr="00F8430E">
        <w:rPr>
          <w:rFonts w:asciiTheme="minorHAnsi" w:eastAsia="Batang" w:hAnsiTheme="minorHAnsi" w:cstheme="minorHAnsi"/>
          <w:i/>
          <w:iCs/>
        </w:rPr>
        <w:t xml:space="preserve">Por </w:t>
      </w:r>
      <w:r w:rsidRPr="00F8430E">
        <w:rPr>
          <w:rFonts w:asciiTheme="minorHAnsi" w:eastAsia="Batang" w:hAnsiTheme="minorHAnsi" w:cstheme="minorHAnsi"/>
          <w:b/>
          <w:bCs/>
          <w:i/>
          <w:iCs/>
        </w:rPr>
        <w:t>Acuerdo II/20/2020</w:t>
      </w:r>
      <w:r w:rsidRPr="00F8430E">
        <w:rPr>
          <w:rFonts w:asciiTheme="minorHAnsi" w:eastAsia="Batang" w:hAnsiTheme="minorHAnsi" w:cstheme="minorHAnsi"/>
          <w:i/>
          <w:iCs/>
        </w:rPr>
        <w:t xml:space="preserve">, aprobado en sesión extraordinaria celebrada el quince de abril de dos mil veinte, se amplió la suspensión de labores en los </w:t>
      </w:r>
      <w:r w:rsidRPr="00F8430E">
        <w:rPr>
          <w:rFonts w:asciiTheme="minorHAnsi" w:hAnsiTheme="minorHAnsi" w:cstheme="minorHAnsi"/>
          <w:i/>
          <w:iCs/>
          <w:color w:val="000000"/>
        </w:rPr>
        <w:t xml:space="preserve">órganos jurisdiccionales y administrativos del Poder Judicial del Estado de Tlaxcala determinada mediante Acuerdo II/18/2020, hasta el treinta de abril de dos mil veinte y, en </w:t>
      </w:r>
      <w:r w:rsidRPr="00F8430E">
        <w:rPr>
          <w:rFonts w:asciiTheme="minorHAnsi" w:hAnsiTheme="minorHAnsi" w:cstheme="minorHAnsi"/>
          <w:i/>
          <w:iCs/>
          <w:color w:val="000000"/>
        </w:rPr>
        <w:lastRenderedPageBreak/>
        <w:t>consecuencia, se amplió la suspensión de los términos y plazos dec</w:t>
      </w:r>
      <w:r w:rsidR="004B5B50">
        <w:rPr>
          <w:rFonts w:asciiTheme="minorHAnsi" w:hAnsiTheme="minorHAnsi" w:cstheme="minorHAnsi"/>
          <w:i/>
          <w:iCs/>
          <w:color w:val="000000"/>
        </w:rPr>
        <w:t>larada</w:t>
      </w:r>
      <w:r w:rsidRPr="00F8430E">
        <w:rPr>
          <w:rFonts w:asciiTheme="minorHAnsi" w:hAnsiTheme="minorHAnsi" w:cstheme="minorHAnsi"/>
          <w:i/>
          <w:iCs/>
          <w:color w:val="000000"/>
        </w:rPr>
        <w:t xml:space="preserve"> mediante Acuerdo II/16/2020, hasta el treinta de abril de dos mil veinte</w:t>
      </w:r>
      <w:r w:rsidR="004B5B50">
        <w:rPr>
          <w:rFonts w:asciiTheme="minorHAnsi" w:hAnsiTheme="minorHAnsi" w:cstheme="minorHAnsi"/>
          <w:i/>
          <w:iCs/>
          <w:color w:val="000000"/>
        </w:rPr>
        <w:t xml:space="preserve">; asimismo, se ratificaron las determinaciones establecidas en los numerales 2, 3 y 4 del Acuerdo II/18/2020, respecto de los órganos jurisdiccionales que cubren guardia para la atención de los asuntos urgentes en materia penal, establecidos en los artículos </w:t>
      </w:r>
      <w:r w:rsidR="004B5B50">
        <w:rPr>
          <w:rFonts w:asciiTheme="minorHAnsi" w:hAnsiTheme="minorHAnsi" w:cstheme="minorHAnsi"/>
          <w:i/>
          <w:color w:val="000000"/>
        </w:rPr>
        <w:t>94, del Código Nacional de Procedimientos Penales, y 539 del Código de Procedimientos Penales del Estado de Tlaxcala;</w:t>
      </w:r>
      <w:r w:rsidRPr="00F8430E">
        <w:rPr>
          <w:rFonts w:asciiTheme="minorHAnsi" w:hAnsiTheme="minorHAnsi" w:cstheme="minorHAnsi"/>
          <w:i/>
          <w:iCs/>
          <w:color w:val="000000"/>
        </w:rPr>
        <w:t>.</w:t>
      </w:r>
    </w:p>
    <w:p w14:paraId="4758FEE3" w14:textId="15CDD996" w:rsidR="004B5B50" w:rsidRPr="004B5B50" w:rsidRDefault="004B5B50" w:rsidP="00455D35">
      <w:pPr>
        <w:pStyle w:val="Prrafodelista"/>
        <w:numPr>
          <w:ilvl w:val="0"/>
          <w:numId w:val="2"/>
        </w:numPr>
        <w:shd w:val="clear" w:color="auto" w:fill="FFFFFF"/>
        <w:spacing w:before="240" w:after="0" w:line="480" w:lineRule="auto"/>
        <w:ind w:left="0" w:firstLine="709"/>
        <w:jc w:val="both"/>
        <w:rPr>
          <w:rFonts w:cstheme="minorHAnsi"/>
          <w:i/>
          <w:iCs/>
          <w:color w:val="000000"/>
        </w:rPr>
      </w:pPr>
      <w:r w:rsidRPr="004B5B50">
        <w:rPr>
          <w:rFonts w:cs="Calibri"/>
          <w:bCs/>
          <w:i/>
          <w:iCs/>
        </w:rPr>
        <w:t xml:space="preserve">Posteriormente, mediante </w:t>
      </w:r>
      <w:r w:rsidRPr="004B5B50">
        <w:rPr>
          <w:rFonts w:cs="Calibri"/>
          <w:b/>
          <w:i/>
          <w:iCs/>
        </w:rPr>
        <w:t>Acuerdo III/23/2020</w:t>
      </w:r>
      <w:r w:rsidRPr="004B5B50">
        <w:rPr>
          <w:rFonts w:cs="Calibri"/>
          <w:bCs/>
          <w:i/>
          <w:iCs/>
        </w:rPr>
        <w:t xml:space="preserve">, de sesión extraordinaria celebrada el treinta de abril de dos mil veinte, </w:t>
      </w:r>
      <w:r w:rsidRPr="004B5B50">
        <w:rPr>
          <w:rFonts w:asciiTheme="minorHAnsi" w:hAnsiTheme="minorHAnsi" w:cstheme="minorHAnsi"/>
          <w:i/>
          <w:iCs/>
          <w:color w:val="000000"/>
        </w:rPr>
        <w:t xml:space="preserve">se amplió la suspensión de labores en los órganos jurisdiccionales y administrativos del Poder Judicial del Estado de Tlaxcala, determinada mediante Acuerdos II/18/2020 y II/20/2020, hasta el treinta y uno de mayo de dos mil veinte y, en consecuencia, </w:t>
      </w:r>
      <w:r w:rsidRPr="004B5B50">
        <w:rPr>
          <w:rFonts w:cstheme="minorHAnsi"/>
          <w:i/>
          <w:iCs/>
          <w:color w:val="000000"/>
        </w:rPr>
        <w:t>se amplió la suspensión de los términos y plazos decretada mediante Acuerdos II/16/2020 y II/20/2020, hasta el treinta y uno de mayo de dos mil veinte.</w:t>
      </w:r>
    </w:p>
    <w:p w14:paraId="10D3792D" w14:textId="12A41FC8" w:rsidR="00F8430E" w:rsidRPr="004B5B50" w:rsidRDefault="004B5B50" w:rsidP="00455D35">
      <w:pPr>
        <w:pStyle w:val="Prrafodelista"/>
        <w:numPr>
          <w:ilvl w:val="0"/>
          <w:numId w:val="2"/>
        </w:numPr>
        <w:shd w:val="clear" w:color="auto" w:fill="FFFFFF"/>
        <w:spacing w:after="0" w:line="480" w:lineRule="auto"/>
        <w:ind w:left="0" w:right="51" w:firstLine="709"/>
        <w:jc w:val="both"/>
        <w:outlineLvl w:val="0"/>
        <w:rPr>
          <w:rFonts w:cs="Calibri"/>
          <w:i/>
          <w:iCs/>
        </w:rPr>
      </w:pPr>
      <w:r>
        <w:rPr>
          <w:rFonts w:cs="Calibri"/>
          <w:i/>
          <w:iCs/>
        </w:rPr>
        <w:t>Ahora bien, en el punto CUARTO</w:t>
      </w:r>
      <w:r w:rsidR="00354616">
        <w:rPr>
          <w:rFonts w:cs="Calibri"/>
          <w:i/>
          <w:iCs/>
        </w:rPr>
        <w:t xml:space="preserve"> </w:t>
      </w:r>
      <w:r>
        <w:rPr>
          <w:rFonts w:cs="Calibri"/>
          <w:i/>
          <w:iCs/>
        </w:rPr>
        <w:t>del citado acuerdo III/23/2020,</w:t>
      </w:r>
      <w:r w:rsidR="00354616">
        <w:rPr>
          <w:rFonts w:cs="Calibri"/>
          <w:i/>
          <w:iCs/>
        </w:rPr>
        <w:t xml:space="preserve"> se estableció lo siguiente: </w:t>
      </w:r>
      <w:r>
        <w:rPr>
          <w:rFonts w:cs="Calibri"/>
          <w:i/>
          <w:iCs/>
        </w:rPr>
        <w:t xml:space="preserve"> </w:t>
      </w:r>
    </w:p>
    <w:p w14:paraId="350FC9CA" w14:textId="70CDA8DC" w:rsidR="00354616" w:rsidRPr="00354616" w:rsidRDefault="00354616" w:rsidP="00354616">
      <w:pPr>
        <w:spacing w:line="480" w:lineRule="auto"/>
        <w:ind w:firstLine="708"/>
        <w:jc w:val="both"/>
        <w:rPr>
          <w:rFonts w:asciiTheme="majorHAnsi" w:hAnsiTheme="majorHAnsi"/>
          <w:sz w:val="20"/>
          <w:szCs w:val="20"/>
        </w:rPr>
      </w:pPr>
      <w:r w:rsidRPr="00354616">
        <w:rPr>
          <w:rFonts w:asciiTheme="majorHAnsi" w:hAnsiTheme="majorHAnsi"/>
          <w:b/>
          <w:sz w:val="20"/>
          <w:szCs w:val="20"/>
        </w:rPr>
        <w:t xml:space="preserve">CUARTO. </w:t>
      </w:r>
      <w:r w:rsidRPr="00354616">
        <w:rPr>
          <w:rFonts w:asciiTheme="majorHAnsi" w:hAnsiTheme="majorHAnsi"/>
          <w:sz w:val="20"/>
          <w:szCs w:val="20"/>
        </w:rPr>
        <w:t xml:space="preserve">Se consideran como asuntos urgentes, de forma enunciativa y no limitativa, los siguientes: </w:t>
      </w:r>
    </w:p>
    <w:p w14:paraId="39BD0EA5" w14:textId="77777777" w:rsidR="00354616" w:rsidRPr="00354616" w:rsidRDefault="00354616" w:rsidP="00455D35">
      <w:pPr>
        <w:pStyle w:val="Prrafodelista"/>
        <w:numPr>
          <w:ilvl w:val="0"/>
          <w:numId w:val="3"/>
        </w:numPr>
        <w:spacing w:after="160" w:line="480" w:lineRule="auto"/>
        <w:ind w:left="1134"/>
        <w:jc w:val="both"/>
        <w:rPr>
          <w:rFonts w:asciiTheme="majorHAnsi" w:hAnsiTheme="majorHAnsi"/>
          <w:sz w:val="20"/>
          <w:szCs w:val="20"/>
        </w:rPr>
      </w:pPr>
      <w:r w:rsidRPr="00354616">
        <w:rPr>
          <w:rFonts w:asciiTheme="majorHAnsi" w:hAnsiTheme="majorHAnsi"/>
          <w:b/>
          <w:bCs/>
          <w:sz w:val="20"/>
          <w:szCs w:val="20"/>
        </w:rPr>
        <w:t>En materia penal:</w:t>
      </w:r>
      <w:r w:rsidRPr="00354616">
        <w:rPr>
          <w:rFonts w:asciiTheme="majorHAnsi" w:hAnsiTheme="majorHAnsi"/>
          <w:sz w:val="20"/>
          <w:szCs w:val="20"/>
        </w:rPr>
        <w:t xml:space="preserve"> </w:t>
      </w:r>
    </w:p>
    <w:p w14:paraId="24E795A0"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 Ejercicio de la acción penal con detenido; </w:t>
      </w:r>
    </w:p>
    <w:p w14:paraId="6363F21D"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Ejercicio de la acción penal sin detenido por delitos que ameriten prisión preventiva oficiosa; </w:t>
      </w:r>
    </w:p>
    <w:p w14:paraId="0C4C3E52"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proofErr w:type="spellStart"/>
      <w:r w:rsidRPr="00354616">
        <w:rPr>
          <w:rFonts w:asciiTheme="majorHAnsi" w:hAnsiTheme="majorHAnsi"/>
          <w:sz w:val="20"/>
          <w:szCs w:val="20"/>
        </w:rPr>
        <w:t>Diligenciación</w:t>
      </w:r>
      <w:proofErr w:type="spellEnd"/>
      <w:r w:rsidRPr="00354616">
        <w:rPr>
          <w:rFonts w:asciiTheme="majorHAnsi" w:hAnsiTheme="majorHAnsi"/>
          <w:sz w:val="20"/>
          <w:szCs w:val="20"/>
        </w:rPr>
        <w:t xml:space="preserve"> de comunicaciones oficiales y exhortos necesarios para que se resuelva sobre la situación jurídica; </w:t>
      </w:r>
    </w:p>
    <w:p w14:paraId="63FF85F6"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Solicitudes de orden de cateo; </w:t>
      </w:r>
    </w:p>
    <w:p w14:paraId="5CC314B8"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La calificación de detenciones; </w:t>
      </w:r>
    </w:p>
    <w:p w14:paraId="42FEB554"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Las resoluciones de situación jurídica; </w:t>
      </w:r>
    </w:p>
    <w:p w14:paraId="407F333A"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Imposición de medidas cautelares en término constitucional;</w:t>
      </w:r>
    </w:p>
    <w:p w14:paraId="6ADD1E7F"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Modificación de medidas cautelares relacionadas con prisión preventiva; </w:t>
      </w:r>
    </w:p>
    <w:p w14:paraId="3FE7D397"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Procedimiento abreviado, cuando los imputados se encuentren con prisión preventiva y sean susceptibles de obtener la conmutación; </w:t>
      </w:r>
    </w:p>
    <w:p w14:paraId="3BAD1F99"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lastRenderedPageBreak/>
        <w:t xml:space="preserve">Salidas alternas (Suspensión condicional del proceso y acuerdo reparatorio); </w:t>
      </w:r>
    </w:p>
    <w:p w14:paraId="7BA1FEF4"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 xml:space="preserve">En el sistema penal tradicional, diligencias para recibir declaraciones preparatorias y actuaciones en el periodo de </w:t>
      </w:r>
      <w:proofErr w:type="spellStart"/>
      <w:r w:rsidRPr="00354616">
        <w:rPr>
          <w:rFonts w:asciiTheme="majorHAnsi" w:hAnsiTheme="majorHAnsi"/>
          <w:sz w:val="20"/>
          <w:szCs w:val="20"/>
        </w:rPr>
        <w:t>preinstrucción</w:t>
      </w:r>
      <w:proofErr w:type="spellEnd"/>
      <w:r w:rsidRPr="00354616">
        <w:rPr>
          <w:rFonts w:asciiTheme="majorHAnsi" w:hAnsiTheme="majorHAnsi"/>
          <w:sz w:val="20"/>
          <w:szCs w:val="20"/>
        </w:rPr>
        <w:t>; y</w:t>
      </w:r>
    </w:p>
    <w:p w14:paraId="10BED6B2" w14:textId="77777777" w:rsidR="00354616" w:rsidRPr="00354616" w:rsidRDefault="00354616" w:rsidP="00455D35">
      <w:pPr>
        <w:pStyle w:val="Prrafodelista"/>
        <w:numPr>
          <w:ilvl w:val="0"/>
          <w:numId w:val="4"/>
        </w:numPr>
        <w:spacing w:after="160" w:line="480" w:lineRule="auto"/>
        <w:jc w:val="both"/>
        <w:rPr>
          <w:rFonts w:asciiTheme="majorHAnsi" w:hAnsiTheme="majorHAnsi"/>
          <w:sz w:val="20"/>
          <w:szCs w:val="20"/>
        </w:rPr>
      </w:pPr>
      <w:r w:rsidRPr="00354616">
        <w:rPr>
          <w:rFonts w:asciiTheme="majorHAnsi" w:hAnsiTheme="majorHAnsi"/>
          <w:sz w:val="20"/>
          <w:szCs w:val="20"/>
        </w:rPr>
        <w:t>En el sistema penal tradicional, resolución de incidentes innominados de traslación del tipo y desvanecimiento de datos;</w:t>
      </w:r>
    </w:p>
    <w:p w14:paraId="59BD7C9D" w14:textId="6E039F5D" w:rsidR="00354616" w:rsidRPr="00354616" w:rsidRDefault="00354616" w:rsidP="00455D35">
      <w:pPr>
        <w:pStyle w:val="NormalWeb"/>
        <w:numPr>
          <w:ilvl w:val="0"/>
          <w:numId w:val="2"/>
        </w:numPr>
        <w:spacing w:before="0" w:beforeAutospacing="0" w:after="0" w:afterAutospacing="0" w:line="480" w:lineRule="auto"/>
        <w:ind w:left="0" w:firstLine="709"/>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Mediante </w:t>
      </w:r>
      <w:r>
        <w:rPr>
          <w:rFonts w:asciiTheme="minorHAnsi" w:eastAsia="Batang" w:hAnsiTheme="minorHAnsi" w:cstheme="minorHAnsi"/>
          <w:b/>
          <w:bCs/>
          <w:i/>
          <w:iCs/>
          <w:sz w:val="22"/>
          <w:szCs w:val="22"/>
        </w:rPr>
        <w:t>Acuerdo II/27/</w:t>
      </w:r>
      <w:r w:rsidRPr="00354616">
        <w:rPr>
          <w:rFonts w:asciiTheme="minorHAnsi" w:eastAsia="Batang" w:hAnsiTheme="minorHAnsi" w:cstheme="minorHAnsi"/>
          <w:i/>
          <w:iCs/>
          <w:sz w:val="22"/>
          <w:szCs w:val="22"/>
        </w:rPr>
        <w:t>2020</w:t>
      </w:r>
      <w:r>
        <w:rPr>
          <w:rFonts w:asciiTheme="minorHAnsi" w:eastAsia="Batang" w:hAnsiTheme="minorHAnsi" w:cstheme="minorHAnsi"/>
          <w:i/>
          <w:iCs/>
          <w:sz w:val="22"/>
          <w:szCs w:val="22"/>
        </w:rPr>
        <w:t xml:space="preserve">, aprobado en sesión extraordinaria celebrada el veintinueve de mayo de dos mil veinte, </w:t>
      </w:r>
      <w:r w:rsidRPr="00354616">
        <w:rPr>
          <w:rFonts w:asciiTheme="minorHAnsi" w:hAnsiTheme="minorHAnsi" w:cstheme="minorHAnsi"/>
          <w:i/>
          <w:iCs/>
          <w:color w:val="000000"/>
        </w:rPr>
        <w:t xml:space="preserve">se amplió la suspensión de labores en los órganos jurisdiccionales y administrativos del Poder Judicial del Estado de Tlaxcala, determinada mediante Acuerdo III/23/2020 y sus antecedentes, II/18/2020 y II/20/2020, hasta el lunes quince de junio de dos mil veinte; en consecuencia, se amplió la suspensión de los términos y plazos declarada mediante los acuerdos ya citados anteriormente. </w:t>
      </w:r>
    </w:p>
    <w:p w14:paraId="555F9D5D" w14:textId="1DE50479" w:rsidR="00916F01" w:rsidRPr="00354616" w:rsidRDefault="00354616" w:rsidP="00455D35">
      <w:pPr>
        <w:pStyle w:val="NormalWeb"/>
        <w:numPr>
          <w:ilvl w:val="0"/>
          <w:numId w:val="2"/>
        </w:numPr>
        <w:spacing w:before="0" w:beforeAutospacing="0" w:after="0" w:afterAutospacing="0" w:line="480" w:lineRule="auto"/>
        <w:ind w:left="0" w:firstLine="709"/>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De igual forma, mediante </w:t>
      </w:r>
      <w:r>
        <w:rPr>
          <w:rFonts w:asciiTheme="minorHAnsi" w:eastAsia="Batang" w:hAnsiTheme="minorHAnsi" w:cstheme="minorHAnsi"/>
          <w:b/>
          <w:bCs/>
          <w:i/>
          <w:iCs/>
          <w:sz w:val="22"/>
          <w:szCs w:val="22"/>
        </w:rPr>
        <w:t>Acuerdo III/29/2020</w:t>
      </w:r>
      <w:r>
        <w:rPr>
          <w:rFonts w:asciiTheme="minorHAnsi" w:eastAsia="Batang" w:hAnsiTheme="minorHAnsi" w:cstheme="minorHAnsi"/>
          <w:i/>
          <w:iCs/>
          <w:sz w:val="22"/>
          <w:szCs w:val="22"/>
        </w:rPr>
        <w:t>, de sesión extraordinaria celebrada el doce de junio</w:t>
      </w:r>
      <w:r w:rsidRPr="007123E5">
        <w:rPr>
          <w:rFonts w:asciiTheme="minorHAnsi" w:hAnsiTheme="minorHAnsi" w:cstheme="minorHAnsi"/>
          <w:i/>
          <w:iCs/>
          <w:color w:val="000000"/>
        </w:rPr>
        <w:t xml:space="preserve">, </w:t>
      </w:r>
      <w:r w:rsidRPr="00354616">
        <w:rPr>
          <w:rFonts w:asciiTheme="minorHAnsi" w:hAnsiTheme="minorHAnsi" w:cstheme="minorHAnsi"/>
          <w:i/>
          <w:iCs/>
          <w:color w:val="000000"/>
        </w:rPr>
        <w:t xml:space="preserve">se amplió del martes dieciséis al martes treinta de junio de dos mil veinte, la suspensión de labores en los órganos jurisdiccionales y administrativos del </w:t>
      </w:r>
      <w:r w:rsidRPr="00354616">
        <w:rPr>
          <w:rFonts w:asciiTheme="minorHAnsi" w:hAnsiTheme="minorHAnsi" w:cstheme="minorHAnsi"/>
          <w:i/>
          <w:iCs/>
          <w:color w:val="000000"/>
          <w:sz w:val="22"/>
          <w:szCs w:val="22"/>
        </w:rPr>
        <w:t>Poder Judicial del Estado de Tlaxcala, determinada mediante Acuerdo II/27/2020 y sus antecedentes: III/23/2020, II/18/2020 y II/20/2020, con las salvedades que adelante se precisa y, en consecuencia, se amplió la suspensión de los plazos y términos declarada mediante acuerdo II/16/2020, prorrogada mediante los diversos II/18/2020, II/20/2020, III/23/2020 y II/27/2020, hasta el martes treinta de junio de dos mil veinte.</w:t>
      </w:r>
    </w:p>
    <w:p w14:paraId="75E95DA9" w14:textId="02C71A8A" w:rsidR="00354616" w:rsidRPr="00543596" w:rsidRDefault="00354616" w:rsidP="00455D35">
      <w:pPr>
        <w:pStyle w:val="NormalWeb"/>
        <w:numPr>
          <w:ilvl w:val="0"/>
          <w:numId w:val="2"/>
        </w:numPr>
        <w:spacing w:before="0" w:beforeAutospacing="0" w:after="0" w:afterAutospacing="0" w:line="480" w:lineRule="auto"/>
        <w:ind w:left="0" w:firstLine="709"/>
        <w:jc w:val="both"/>
        <w:rPr>
          <w:rFonts w:asciiTheme="minorHAnsi" w:eastAsia="Batang" w:hAnsiTheme="minorHAnsi" w:cstheme="minorHAnsi"/>
          <w:i/>
          <w:iCs/>
          <w:sz w:val="22"/>
          <w:szCs w:val="22"/>
        </w:rPr>
      </w:pPr>
      <w:r w:rsidRPr="00543596">
        <w:rPr>
          <w:rFonts w:asciiTheme="minorHAnsi" w:eastAsia="Batang" w:hAnsiTheme="minorHAnsi" w:cstheme="minorHAnsi"/>
          <w:i/>
          <w:iCs/>
          <w:sz w:val="22"/>
          <w:szCs w:val="22"/>
        </w:rPr>
        <w:t xml:space="preserve">En sesión ordinaria celebrada el veintinueve de junio de dos mil veinte, mediante </w:t>
      </w:r>
      <w:r w:rsidRPr="00543596">
        <w:rPr>
          <w:rFonts w:asciiTheme="minorHAnsi" w:eastAsia="Batang" w:hAnsiTheme="minorHAnsi" w:cstheme="minorHAnsi"/>
          <w:b/>
          <w:bCs/>
          <w:i/>
          <w:iCs/>
          <w:sz w:val="22"/>
          <w:szCs w:val="22"/>
        </w:rPr>
        <w:t>Acuerdo II/31/2020</w:t>
      </w:r>
      <w:r w:rsidRPr="00543596">
        <w:rPr>
          <w:rFonts w:asciiTheme="minorHAnsi" w:eastAsia="Batang" w:hAnsiTheme="minorHAnsi" w:cstheme="minorHAnsi"/>
          <w:i/>
          <w:iCs/>
          <w:sz w:val="22"/>
          <w:szCs w:val="22"/>
        </w:rPr>
        <w:t xml:space="preserve">, </w:t>
      </w:r>
      <w:r w:rsidRPr="00543596">
        <w:rPr>
          <w:rFonts w:asciiTheme="minorHAnsi" w:hAnsiTheme="minorHAnsi" w:cstheme="minorHAnsi"/>
          <w:i/>
          <w:iCs/>
          <w:sz w:val="22"/>
          <w:szCs w:val="22"/>
        </w:rPr>
        <w:t>se declaró la suspensión de labores para la prestación de los servicios vinculados a la impartición de justicia, en los órganos jurisdiccionales y administrativos del Poder Judicial del Estado de Tlaxcala, durante el periodo comprendido del miércoles uno al miércoles quince de julio de dos mil</w:t>
      </w:r>
      <w:r w:rsidR="00543596" w:rsidRPr="00543596">
        <w:rPr>
          <w:rFonts w:asciiTheme="minorHAnsi" w:hAnsiTheme="minorHAnsi" w:cstheme="minorHAnsi"/>
          <w:i/>
          <w:iCs/>
          <w:sz w:val="22"/>
          <w:szCs w:val="22"/>
        </w:rPr>
        <w:t xml:space="preserve"> veinte; se amplió la suspensión de los plazos y términos desde miércoles uno hasta el miércoles quince de julio de dos mil veinte, la cual se ha mantenido ininterrumpida desde que fue declarada mediante acuerdo II/16/2020, hasta el martes treinta de junio de dos mil veinte, en </w:t>
      </w:r>
      <w:r w:rsidR="00543596" w:rsidRPr="00543596">
        <w:rPr>
          <w:rFonts w:asciiTheme="minorHAnsi" w:hAnsiTheme="minorHAnsi" w:cstheme="minorHAnsi"/>
          <w:i/>
          <w:iCs/>
          <w:sz w:val="22"/>
          <w:szCs w:val="22"/>
        </w:rPr>
        <w:lastRenderedPageBreak/>
        <w:t>términos de los diversos II/18/2020, II/20/2020, III/23/2020, II/27/2020 y III/29/2020; y se determinó que se mantenían vigentes las determinaciones de los acuerdos II/16/2020, II/18/2020 y III/23/2020, respecto de los órganos jurisdiccionales que cubrirán guardia en las materias Penal, Familiar, de Ejecución de Sanciones y de Justicia Alternativa, así como el listado de asuntos considerados urgentes</w:t>
      </w:r>
      <w:r w:rsidR="00543596">
        <w:rPr>
          <w:rFonts w:asciiTheme="minorHAnsi" w:hAnsiTheme="minorHAnsi" w:cstheme="minorHAnsi"/>
          <w:i/>
          <w:iCs/>
          <w:sz w:val="22"/>
          <w:szCs w:val="22"/>
        </w:rPr>
        <w:t>.</w:t>
      </w:r>
    </w:p>
    <w:p w14:paraId="33E1458F" w14:textId="2104E032" w:rsidR="00916F01" w:rsidRPr="00543596" w:rsidRDefault="00543596" w:rsidP="00455D35">
      <w:pPr>
        <w:pStyle w:val="NormalWeb"/>
        <w:numPr>
          <w:ilvl w:val="0"/>
          <w:numId w:val="2"/>
        </w:numPr>
        <w:spacing w:before="0" w:beforeAutospacing="0" w:after="0" w:afterAutospacing="0" w:line="480" w:lineRule="auto"/>
        <w:ind w:left="0" w:firstLine="709"/>
        <w:jc w:val="both"/>
        <w:rPr>
          <w:rFonts w:asciiTheme="minorHAnsi" w:eastAsia="Batang" w:hAnsiTheme="minorHAnsi" w:cstheme="minorHAnsi"/>
          <w:i/>
          <w:iCs/>
          <w:sz w:val="22"/>
          <w:szCs w:val="22"/>
        </w:rPr>
      </w:pPr>
      <w:r w:rsidRPr="00543596">
        <w:rPr>
          <w:rFonts w:asciiTheme="minorHAnsi" w:eastAsia="Batang" w:hAnsiTheme="minorHAnsi" w:cstheme="minorHAnsi"/>
          <w:i/>
          <w:iCs/>
          <w:sz w:val="22"/>
          <w:szCs w:val="22"/>
        </w:rPr>
        <w:t xml:space="preserve">Mediante </w:t>
      </w:r>
      <w:r w:rsidRPr="00543596">
        <w:rPr>
          <w:rFonts w:asciiTheme="minorHAnsi" w:eastAsia="Batang" w:hAnsiTheme="minorHAnsi" w:cstheme="minorHAnsi"/>
          <w:b/>
          <w:bCs/>
          <w:i/>
          <w:iCs/>
          <w:sz w:val="22"/>
          <w:szCs w:val="22"/>
        </w:rPr>
        <w:t>Acuerdo II/34/2020</w:t>
      </w:r>
      <w:r w:rsidRPr="00543596">
        <w:rPr>
          <w:rFonts w:asciiTheme="minorHAnsi" w:eastAsia="Batang" w:hAnsiTheme="minorHAnsi" w:cstheme="minorHAnsi"/>
          <w:i/>
          <w:iCs/>
          <w:sz w:val="22"/>
          <w:szCs w:val="22"/>
        </w:rPr>
        <w:t xml:space="preserve">, de sesión extraordinaria celebrada el catorce de julio de dos mil veinte, </w:t>
      </w:r>
      <w:r w:rsidRPr="00543596">
        <w:rPr>
          <w:rFonts w:asciiTheme="minorHAnsi" w:hAnsiTheme="minorHAnsi" w:cstheme="minorHAnsi"/>
          <w:i/>
          <w:iCs/>
          <w:sz w:val="22"/>
          <w:szCs w:val="22"/>
        </w:rPr>
        <w:t>se amplió la suspensión de labores para la prestación de los servicios vinculados a la impartición de justicia, en los órganos jurisdiccionales y administrativos del Poder Judicial del Estado de Tlaxcala, durante el periodo comprendido del jueves dieciséis al viernes treinta y uno de julio de dos mil veinte; se amplió la suspensión de los plazos y términos del jueves dieciséis al viernes treinta y uno de julio de dos mil veinte, la cual se ha mantenido ininterrumpida desde que fue declarada mediante acuerdo II/16/2020, hasta el martes treinta de junio de dos mil veinte, en términos de los diversos II/18/2020, II/20/2020, III/23/2020, II/27/2020, III/29/2020 y II/31/2020; asimismo, se determinó que se mantenían vigentes las determinaciones de los acuerdos II/16/2020, II/18/2020 y III/23/2020, respecto de los órganos jurisdiccionales que cubrirán guardia en las materias Penal.</w:t>
      </w:r>
    </w:p>
    <w:p w14:paraId="453FDFB9" w14:textId="2D82111C" w:rsidR="00543596" w:rsidRDefault="00543596" w:rsidP="00455D35">
      <w:pPr>
        <w:pStyle w:val="NormalWeb"/>
        <w:numPr>
          <w:ilvl w:val="0"/>
          <w:numId w:val="2"/>
        </w:numPr>
        <w:spacing w:before="0" w:beforeAutospacing="0" w:after="0" w:afterAutospacing="0" w:line="480" w:lineRule="auto"/>
        <w:ind w:left="0" w:firstLine="709"/>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Finalmente, mediante </w:t>
      </w:r>
      <w:r>
        <w:rPr>
          <w:rFonts w:asciiTheme="minorHAnsi" w:eastAsia="Batang" w:hAnsiTheme="minorHAnsi" w:cstheme="minorHAnsi"/>
          <w:b/>
          <w:bCs/>
          <w:i/>
          <w:iCs/>
          <w:sz w:val="22"/>
          <w:szCs w:val="22"/>
        </w:rPr>
        <w:t>Acuerdo II/36/2020</w:t>
      </w:r>
      <w:r>
        <w:rPr>
          <w:rFonts w:asciiTheme="minorHAnsi" w:eastAsia="Batang" w:hAnsiTheme="minorHAnsi" w:cstheme="minorHAnsi"/>
          <w:i/>
          <w:iCs/>
          <w:sz w:val="22"/>
          <w:szCs w:val="22"/>
        </w:rPr>
        <w:t>, de sesión ordinaria celebrada el veintiocho de julio de dos mil veinte, se determinó la reanudación de actividades a partir del uno de agosto de dos mil veinte en los órganos jurisdiccionales del Poder Judicial del Estado de Tlaxcala, con las precisiones siguientes en materia Penal:</w:t>
      </w:r>
    </w:p>
    <w:p w14:paraId="3E769C91" w14:textId="77777777" w:rsidR="00543596" w:rsidRPr="00543596" w:rsidRDefault="00543596" w:rsidP="00455D35">
      <w:pPr>
        <w:pStyle w:val="Prrafodelista"/>
        <w:numPr>
          <w:ilvl w:val="0"/>
          <w:numId w:val="6"/>
        </w:numPr>
        <w:spacing w:before="240" w:line="480" w:lineRule="auto"/>
        <w:jc w:val="both"/>
        <w:rPr>
          <w:rFonts w:asciiTheme="majorHAnsi" w:hAnsiTheme="majorHAnsi"/>
          <w:b/>
          <w:sz w:val="20"/>
          <w:szCs w:val="20"/>
        </w:rPr>
      </w:pPr>
      <w:r w:rsidRPr="00543596">
        <w:rPr>
          <w:rFonts w:asciiTheme="majorHAnsi" w:hAnsiTheme="majorHAnsi"/>
          <w:b/>
          <w:sz w:val="20"/>
          <w:szCs w:val="20"/>
        </w:rPr>
        <w:t>En materia penal:</w:t>
      </w:r>
    </w:p>
    <w:p w14:paraId="676130C7" w14:textId="77777777" w:rsidR="00543596" w:rsidRPr="00543596" w:rsidRDefault="00543596" w:rsidP="00455D35">
      <w:pPr>
        <w:pStyle w:val="Prrafodelista"/>
        <w:numPr>
          <w:ilvl w:val="1"/>
          <w:numId w:val="5"/>
        </w:numPr>
        <w:spacing w:before="240" w:line="480" w:lineRule="auto"/>
        <w:ind w:left="993"/>
        <w:jc w:val="both"/>
        <w:rPr>
          <w:rFonts w:asciiTheme="majorHAnsi" w:hAnsiTheme="majorHAnsi"/>
          <w:b/>
          <w:sz w:val="20"/>
          <w:szCs w:val="20"/>
        </w:rPr>
      </w:pPr>
      <w:r w:rsidRPr="00543596">
        <w:rPr>
          <w:rFonts w:asciiTheme="majorHAnsi" w:hAnsiTheme="majorHAnsi"/>
          <w:bCs/>
          <w:sz w:val="20"/>
          <w:szCs w:val="20"/>
        </w:rPr>
        <w:t>Tomando en consideración el número de asuntos que se tramitan en el sistema tradicional, se determina la reanudación plena de actividades en los juzgados Penal del Distrito Judicial de Guridi y Alcocer y Penal del Distrito Judicial de Sánchez Piedras y Especializado en Administración de Justicia para Adolescentes del Estado;</w:t>
      </w:r>
    </w:p>
    <w:p w14:paraId="169934C9" w14:textId="77777777" w:rsidR="00543596" w:rsidRPr="00543596" w:rsidRDefault="00543596" w:rsidP="00455D35">
      <w:pPr>
        <w:pStyle w:val="Prrafodelista"/>
        <w:numPr>
          <w:ilvl w:val="1"/>
          <w:numId w:val="5"/>
        </w:numPr>
        <w:spacing w:before="240" w:line="480" w:lineRule="auto"/>
        <w:ind w:left="993"/>
        <w:jc w:val="both"/>
        <w:rPr>
          <w:rFonts w:asciiTheme="majorHAnsi" w:hAnsiTheme="majorHAnsi"/>
          <w:b/>
          <w:sz w:val="20"/>
          <w:szCs w:val="20"/>
        </w:rPr>
      </w:pPr>
      <w:r w:rsidRPr="00543596">
        <w:rPr>
          <w:rFonts w:asciiTheme="majorHAnsi" w:hAnsiTheme="majorHAnsi"/>
          <w:bCs/>
          <w:sz w:val="20"/>
          <w:szCs w:val="20"/>
        </w:rPr>
        <w:t xml:space="preserve">En el Sistema Penal Acusatorio, se determina la reanudación plena de actividades en los juzgados de Control y de Juicio Oral del Distrito Judicial de </w:t>
      </w:r>
      <w:r w:rsidRPr="00543596">
        <w:rPr>
          <w:rFonts w:asciiTheme="majorHAnsi" w:hAnsiTheme="majorHAnsi"/>
          <w:bCs/>
          <w:sz w:val="20"/>
          <w:szCs w:val="20"/>
        </w:rPr>
        <w:lastRenderedPageBreak/>
        <w:t>Guridi y Alcocer y de Control y de Juicio Oral del Distrito Judicial de Sánchez Piedras y Especializado en Justicia para Adolescentes del Estado de Tlaxcala;</w:t>
      </w:r>
    </w:p>
    <w:p w14:paraId="0E8ACB7B" w14:textId="77777777" w:rsidR="00543596" w:rsidRPr="00543596" w:rsidRDefault="00543596" w:rsidP="00455D35">
      <w:pPr>
        <w:pStyle w:val="Prrafodelista"/>
        <w:numPr>
          <w:ilvl w:val="1"/>
          <w:numId w:val="5"/>
        </w:numPr>
        <w:spacing w:before="240" w:line="480" w:lineRule="auto"/>
        <w:ind w:left="993"/>
        <w:jc w:val="both"/>
        <w:rPr>
          <w:rFonts w:asciiTheme="majorHAnsi" w:hAnsiTheme="majorHAnsi"/>
          <w:b/>
          <w:sz w:val="20"/>
          <w:szCs w:val="20"/>
        </w:rPr>
      </w:pPr>
      <w:r w:rsidRPr="00543596">
        <w:rPr>
          <w:rFonts w:asciiTheme="majorHAnsi" w:hAnsiTheme="majorHAnsi"/>
          <w:bCs/>
          <w:sz w:val="20"/>
          <w:szCs w:val="20"/>
        </w:rPr>
        <w:t>En las causas judiciales donde el imputado o acusado cuente con varios defensores o la víctima u ofendido, con varios asesores jurídicos, o bien haya multiplicidad de personas que deban intervenir como partes, con la finalidad de reducir el número de personas presentes en la sala de audiencias, el Juez de Control o el Presidente del Tribunal de Enjuiciamiento pedirá que la representación recaiga sólo en uno de ellos, siempre salvaguardando los derechos fundamentales de las partes; en caso de que las partes o alguna de ellas rehúse tal petición, quien presida la audiencia instruirá las medidas pertinentes de prevención para salvaguardar la salud de las personas que se encuentran en la sala; si por el número de personas que deben intervenir en la audiencia o las condiciones físicas de la sala no fuere posible garantizar su salud y no se esté dentro del término constitucional, la audiencia deberá ser suspendida y reprogramada para una fecha en la que existan mejores condiciones de salud general, así declaradas por el Consejo General de Salubridad.</w:t>
      </w:r>
    </w:p>
    <w:p w14:paraId="1E83DEB3" w14:textId="77777777" w:rsidR="0076485B" w:rsidRDefault="00543596" w:rsidP="00455D35">
      <w:pPr>
        <w:pStyle w:val="NormalWeb"/>
        <w:numPr>
          <w:ilvl w:val="0"/>
          <w:numId w:val="2"/>
        </w:numPr>
        <w:spacing w:before="0" w:beforeAutospacing="0" w:after="0" w:afterAutospacing="0" w:line="480" w:lineRule="auto"/>
        <w:ind w:left="0" w:firstLine="709"/>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Asimismo, en relación con la suspensión de plazos y términos, en el citado </w:t>
      </w:r>
      <w:r>
        <w:rPr>
          <w:rFonts w:asciiTheme="minorHAnsi" w:eastAsia="Batang" w:hAnsiTheme="minorHAnsi" w:cstheme="minorHAnsi"/>
          <w:b/>
          <w:bCs/>
          <w:i/>
          <w:iCs/>
          <w:sz w:val="22"/>
          <w:szCs w:val="22"/>
        </w:rPr>
        <w:t xml:space="preserve">Acuerdo II/36/2020 </w:t>
      </w:r>
      <w:r>
        <w:rPr>
          <w:rFonts w:asciiTheme="minorHAnsi" w:eastAsia="Batang" w:hAnsiTheme="minorHAnsi" w:cstheme="minorHAnsi"/>
          <w:i/>
          <w:iCs/>
          <w:sz w:val="22"/>
          <w:szCs w:val="22"/>
        </w:rPr>
        <w:t>se dete</w:t>
      </w:r>
      <w:r w:rsidR="0076485B">
        <w:rPr>
          <w:rFonts w:asciiTheme="minorHAnsi" w:eastAsia="Batang" w:hAnsiTheme="minorHAnsi" w:cstheme="minorHAnsi"/>
          <w:i/>
          <w:iCs/>
          <w:sz w:val="22"/>
          <w:szCs w:val="22"/>
        </w:rPr>
        <w:t>rminó lo siguiente:</w:t>
      </w:r>
    </w:p>
    <w:p w14:paraId="5319AB0A" w14:textId="492B1E65" w:rsidR="00543596" w:rsidRPr="0076485B" w:rsidRDefault="0076485B" w:rsidP="0076485B">
      <w:pPr>
        <w:pStyle w:val="NormalWeb"/>
        <w:spacing w:before="0" w:beforeAutospacing="0" w:after="0" w:afterAutospacing="0" w:line="480" w:lineRule="auto"/>
        <w:ind w:left="709"/>
        <w:jc w:val="both"/>
        <w:rPr>
          <w:rFonts w:asciiTheme="majorHAnsi" w:eastAsia="Batang" w:hAnsiTheme="majorHAnsi" w:cstheme="minorHAnsi"/>
          <w:i/>
          <w:iCs/>
          <w:sz w:val="20"/>
          <w:szCs w:val="20"/>
        </w:rPr>
      </w:pPr>
      <w:r w:rsidRPr="0076485B">
        <w:rPr>
          <w:rFonts w:asciiTheme="majorHAnsi" w:hAnsiTheme="majorHAnsi"/>
          <w:b/>
          <w:i/>
          <w:iCs/>
          <w:sz w:val="20"/>
          <w:szCs w:val="20"/>
        </w:rPr>
        <w:t xml:space="preserve">SEGUNDO. </w:t>
      </w:r>
      <w:r w:rsidRPr="0076485B">
        <w:rPr>
          <w:rFonts w:asciiTheme="majorHAnsi" w:hAnsiTheme="majorHAnsi"/>
          <w:bCs/>
          <w:i/>
          <w:iCs/>
          <w:sz w:val="20"/>
          <w:szCs w:val="20"/>
        </w:rPr>
        <w:t>En</w:t>
      </w:r>
      <w:r w:rsidRPr="0076485B">
        <w:rPr>
          <w:rFonts w:asciiTheme="majorHAnsi" w:hAnsiTheme="majorHAnsi" w:cstheme="minorHAnsi"/>
          <w:i/>
          <w:iCs/>
          <w:sz w:val="20"/>
          <w:szCs w:val="20"/>
        </w:rPr>
        <w:t xml:space="preserve"> relación con el punto PRIMERO del presente Acuerdo y en</w:t>
      </w:r>
      <w:r w:rsidRPr="0076485B">
        <w:rPr>
          <w:rFonts w:asciiTheme="majorHAnsi" w:hAnsiTheme="majorHAnsi"/>
          <w:bCs/>
          <w:i/>
          <w:iCs/>
          <w:sz w:val="20"/>
          <w:szCs w:val="20"/>
        </w:rPr>
        <w:t xml:space="preserve"> términos de </w:t>
      </w:r>
      <w:r w:rsidRPr="0076485B">
        <w:rPr>
          <w:rFonts w:asciiTheme="majorHAnsi" w:hAnsiTheme="majorHAnsi" w:cstheme="minorHAnsi"/>
          <w:i/>
          <w:iCs/>
          <w:sz w:val="20"/>
          <w:szCs w:val="20"/>
        </w:rPr>
        <w:t xml:space="preserve">lo expuesto en el apartado de consideraciones que antecede, a efecto de lograr un retorno gradual, progresivo y ordenado, </w:t>
      </w:r>
      <w:r w:rsidRPr="0076485B">
        <w:rPr>
          <w:rFonts w:asciiTheme="majorHAnsi" w:hAnsiTheme="majorHAnsi" w:cstheme="minorHAnsi"/>
          <w:b/>
          <w:bCs/>
          <w:i/>
          <w:iCs/>
          <w:sz w:val="20"/>
          <w:szCs w:val="20"/>
        </w:rPr>
        <w:t>a partir del uno de agosto de dos mil veinte  y exclusivamente para la primera instancia en materia penal y ejecución de sanciones, se levanta la suspensión de los plazos y términos</w:t>
      </w:r>
      <w:r w:rsidRPr="0076485B">
        <w:rPr>
          <w:rFonts w:asciiTheme="majorHAnsi" w:hAnsiTheme="majorHAnsi" w:cstheme="minorHAnsi"/>
          <w:i/>
          <w:iCs/>
          <w:sz w:val="20"/>
          <w:szCs w:val="20"/>
        </w:rPr>
        <w:t xml:space="preserve"> </w:t>
      </w:r>
      <w:r w:rsidRPr="0076485B">
        <w:rPr>
          <w:rFonts w:asciiTheme="majorHAnsi" w:hAnsiTheme="majorHAnsi" w:cstheme="minorHAnsi"/>
          <w:i/>
          <w:iCs/>
          <w:color w:val="000000"/>
          <w:sz w:val="20"/>
          <w:szCs w:val="20"/>
        </w:rPr>
        <w:t>declarada mediante acuerdo II/16/2020</w:t>
      </w:r>
      <w:r w:rsidRPr="0076485B">
        <w:rPr>
          <w:rFonts w:asciiTheme="majorHAnsi" w:hAnsiTheme="majorHAnsi" w:cstheme="minorHAnsi"/>
          <w:b/>
          <w:bCs/>
          <w:i/>
          <w:iCs/>
          <w:color w:val="000000"/>
          <w:sz w:val="20"/>
          <w:szCs w:val="20"/>
        </w:rPr>
        <w:t xml:space="preserve">, </w:t>
      </w:r>
      <w:r w:rsidRPr="0076485B">
        <w:rPr>
          <w:rFonts w:asciiTheme="majorHAnsi" w:hAnsiTheme="majorHAnsi" w:cstheme="minorHAnsi"/>
          <w:i/>
          <w:iCs/>
          <w:color w:val="000000"/>
          <w:sz w:val="20"/>
          <w:szCs w:val="20"/>
        </w:rPr>
        <w:t>prorrogada mediante los diversos II/18/2020, II/20/2020, III/23/2020 y II/27/2020</w:t>
      </w:r>
      <w:r w:rsidRPr="0076485B">
        <w:rPr>
          <w:rFonts w:asciiTheme="majorHAnsi" w:hAnsiTheme="majorHAnsi" w:cstheme="minorHAnsi"/>
          <w:i/>
          <w:iCs/>
          <w:sz w:val="20"/>
          <w:szCs w:val="20"/>
        </w:rPr>
        <w:t>, III/29/2020 y II/31/2020. Respecto de la suspensión de plazos y términos en materia penal y ejecución de sanciones para la segunda instancia, el Pleno del Tribunal Superior de Justicia del Estado determinará, mediante el acuerdo respectivo, la fecha en que se levantará dicha suspensión.</w:t>
      </w:r>
      <w:r w:rsidR="00543596" w:rsidRPr="0076485B">
        <w:rPr>
          <w:rFonts w:asciiTheme="majorHAnsi" w:eastAsia="Batang" w:hAnsiTheme="majorHAnsi" w:cstheme="minorHAnsi"/>
          <w:i/>
          <w:iCs/>
          <w:sz w:val="20"/>
          <w:szCs w:val="20"/>
        </w:rPr>
        <w:t xml:space="preserve"> </w:t>
      </w:r>
    </w:p>
    <w:p w14:paraId="1383345C" w14:textId="1203EB9C" w:rsidR="00916F01" w:rsidRDefault="0076485B" w:rsidP="00B34419">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ab/>
        <w:t xml:space="preserve">Con base en los antecedentes expuestos, con fundamento en los artículos 85, de la Constitución Política del Estado; y 61 de la Ley Orgánica del Poder Judicial del Estado, se </w:t>
      </w:r>
      <w:r w:rsidR="000A45E7">
        <w:rPr>
          <w:rFonts w:asciiTheme="minorHAnsi" w:eastAsia="Batang" w:hAnsiTheme="minorHAnsi" w:cstheme="minorHAnsi"/>
          <w:i/>
          <w:iCs/>
          <w:sz w:val="22"/>
          <w:szCs w:val="22"/>
        </w:rPr>
        <w:t>realizan las precisiones siguientes:</w:t>
      </w:r>
    </w:p>
    <w:p w14:paraId="42109EBF" w14:textId="028204F0" w:rsidR="00F7352A" w:rsidRDefault="000A45E7" w:rsidP="00B34419">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lastRenderedPageBreak/>
        <w:t xml:space="preserve">PRIMERA. Por determinación de este </w:t>
      </w:r>
      <w:r w:rsidR="00F7352A">
        <w:rPr>
          <w:rFonts w:asciiTheme="minorHAnsi" w:eastAsia="Batang" w:hAnsiTheme="minorHAnsi" w:cstheme="minorHAnsi"/>
          <w:i/>
          <w:iCs/>
          <w:sz w:val="22"/>
          <w:szCs w:val="22"/>
        </w:rPr>
        <w:t>Consejo</w:t>
      </w:r>
      <w:r>
        <w:rPr>
          <w:rFonts w:asciiTheme="minorHAnsi" w:eastAsia="Batang" w:hAnsiTheme="minorHAnsi" w:cstheme="minorHAnsi"/>
          <w:i/>
          <w:iCs/>
          <w:sz w:val="22"/>
          <w:szCs w:val="22"/>
        </w:rPr>
        <w:t xml:space="preserve">, en todos los órganos jurisdiccionales del Poder Judicial del Estado de Tlaxcala, a partir del </w:t>
      </w:r>
      <w:r w:rsidR="00F7352A">
        <w:rPr>
          <w:rFonts w:asciiTheme="minorHAnsi" w:eastAsia="Batang" w:hAnsiTheme="minorHAnsi" w:cstheme="minorHAnsi"/>
          <w:i/>
          <w:iCs/>
          <w:sz w:val="22"/>
          <w:szCs w:val="22"/>
        </w:rPr>
        <w:t>veintitrés de marzo hasta el treinta y uno de julio de dos mil veinte</w:t>
      </w:r>
      <w:r w:rsidR="00F7352A" w:rsidRPr="00F7352A">
        <w:rPr>
          <w:rFonts w:asciiTheme="minorHAnsi" w:eastAsia="Batang" w:hAnsiTheme="minorHAnsi" w:cstheme="minorHAnsi"/>
          <w:i/>
          <w:iCs/>
          <w:sz w:val="22"/>
          <w:szCs w:val="22"/>
        </w:rPr>
        <w:t xml:space="preserve"> </w:t>
      </w:r>
      <w:r w:rsidR="00F7352A">
        <w:rPr>
          <w:rFonts w:asciiTheme="minorHAnsi" w:eastAsia="Batang" w:hAnsiTheme="minorHAnsi" w:cstheme="minorHAnsi"/>
          <w:i/>
          <w:iCs/>
          <w:sz w:val="22"/>
          <w:szCs w:val="22"/>
        </w:rPr>
        <w:t>fueron suspendidos</w:t>
      </w:r>
      <w:r w:rsidR="00F7352A" w:rsidRPr="00F7352A">
        <w:rPr>
          <w:rFonts w:asciiTheme="minorHAnsi" w:eastAsia="Batang" w:hAnsiTheme="minorHAnsi" w:cstheme="minorHAnsi"/>
          <w:i/>
          <w:iCs/>
          <w:sz w:val="22"/>
          <w:szCs w:val="22"/>
        </w:rPr>
        <w:t xml:space="preserve"> </w:t>
      </w:r>
      <w:r w:rsidR="00F7352A">
        <w:rPr>
          <w:rFonts w:asciiTheme="minorHAnsi" w:eastAsia="Batang" w:hAnsiTheme="minorHAnsi" w:cstheme="minorHAnsi"/>
          <w:i/>
          <w:iCs/>
          <w:sz w:val="22"/>
          <w:szCs w:val="22"/>
        </w:rPr>
        <w:t>los plazos y términos. La determinación anterior se sustenta en los acuerdos II/16/2020, II/20/2020/, III/23/2020, II/27/2020, III/29/2020, II/31/2020 y II/34/2020.</w:t>
      </w:r>
    </w:p>
    <w:p w14:paraId="3B72679C" w14:textId="2100D831" w:rsidR="000A45E7" w:rsidRDefault="00F7352A" w:rsidP="00B34419">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SEGUNDA. En términos de lo establecido en el artículo 94 del Código Nacional de Procedimientos Penales, se estableció la guardia correspondiente en los juzgados de Control y de Juicio Oral del Distrito Judicial de Guridi y Alcocer y de Sánchez Piedras y Especializado en Justicia para Adolescentes del Estado de Tlaxcala.</w:t>
      </w:r>
    </w:p>
    <w:p w14:paraId="45F39738" w14:textId="7EA4E5B0" w:rsidR="005C61DD" w:rsidRDefault="00F7352A" w:rsidP="005C61DD">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TERCERA. </w:t>
      </w:r>
      <w:r w:rsidR="005C61DD">
        <w:rPr>
          <w:rFonts w:asciiTheme="minorHAnsi" w:eastAsia="Batang" w:hAnsiTheme="minorHAnsi" w:cstheme="minorHAnsi"/>
          <w:i/>
          <w:iCs/>
          <w:sz w:val="22"/>
          <w:szCs w:val="22"/>
        </w:rPr>
        <w:t xml:space="preserve">Los acuerdos emitidos por el Consejo de la Judicatura del Estado respecto de la suspensión de plazos y términos implica </w:t>
      </w:r>
      <w:r w:rsidR="00823F8C">
        <w:rPr>
          <w:rFonts w:asciiTheme="minorHAnsi" w:eastAsia="Batang" w:hAnsiTheme="minorHAnsi" w:cstheme="minorHAnsi"/>
          <w:i/>
          <w:iCs/>
          <w:sz w:val="22"/>
          <w:szCs w:val="22"/>
        </w:rPr>
        <w:t>su reanudación</w:t>
      </w:r>
      <w:r w:rsidR="005C61DD">
        <w:rPr>
          <w:rFonts w:asciiTheme="minorHAnsi" w:eastAsia="Batang" w:hAnsiTheme="minorHAnsi" w:cstheme="minorHAnsi"/>
          <w:i/>
          <w:iCs/>
          <w:sz w:val="22"/>
          <w:szCs w:val="22"/>
        </w:rPr>
        <w:t xml:space="preserve"> al levantarse la suspensión</w:t>
      </w:r>
      <w:r w:rsidR="00823F8C">
        <w:rPr>
          <w:rFonts w:asciiTheme="minorHAnsi" w:eastAsia="Batang" w:hAnsiTheme="minorHAnsi" w:cstheme="minorHAnsi"/>
          <w:i/>
          <w:iCs/>
          <w:sz w:val="22"/>
          <w:szCs w:val="22"/>
        </w:rPr>
        <w:t xml:space="preserve"> en el punto en que quedaron pausado</w:t>
      </w:r>
      <w:r w:rsidR="005C61DD">
        <w:rPr>
          <w:rFonts w:asciiTheme="minorHAnsi" w:eastAsia="Batang" w:hAnsiTheme="minorHAnsi" w:cstheme="minorHAnsi"/>
          <w:i/>
          <w:iCs/>
          <w:sz w:val="22"/>
          <w:szCs w:val="22"/>
        </w:rPr>
        <w:t xml:space="preserve"> y no </w:t>
      </w:r>
      <w:r w:rsidR="00823F8C">
        <w:rPr>
          <w:rFonts w:asciiTheme="minorHAnsi" w:eastAsia="Batang" w:hAnsiTheme="minorHAnsi" w:cstheme="minorHAnsi"/>
          <w:i/>
          <w:iCs/>
          <w:sz w:val="22"/>
          <w:szCs w:val="22"/>
        </w:rPr>
        <w:t>su reinicio</w:t>
      </w:r>
      <w:r w:rsidR="005C61DD">
        <w:rPr>
          <w:rFonts w:asciiTheme="minorHAnsi" w:eastAsia="Batang" w:hAnsiTheme="minorHAnsi" w:cstheme="minorHAnsi"/>
          <w:i/>
          <w:iCs/>
          <w:sz w:val="22"/>
          <w:szCs w:val="22"/>
        </w:rPr>
        <w:t>,</w:t>
      </w:r>
      <w:r w:rsidR="00823F8C">
        <w:rPr>
          <w:rFonts w:asciiTheme="minorHAnsi" w:eastAsia="Batang" w:hAnsiTheme="minorHAnsi" w:cstheme="minorHAnsi"/>
          <w:i/>
          <w:iCs/>
          <w:sz w:val="22"/>
          <w:szCs w:val="22"/>
        </w:rPr>
        <w:t xml:space="preserve"> pues dichos </w:t>
      </w:r>
      <w:r w:rsidR="005C61DD">
        <w:rPr>
          <w:rFonts w:asciiTheme="minorHAnsi" w:eastAsia="Batang" w:hAnsiTheme="minorHAnsi" w:cstheme="minorHAnsi"/>
          <w:i/>
          <w:iCs/>
          <w:sz w:val="22"/>
          <w:szCs w:val="22"/>
        </w:rPr>
        <w:t xml:space="preserve">plazos y términos no fueron interrumpidos.  </w:t>
      </w:r>
    </w:p>
    <w:p w14:paraId="7C54AACC" w14:textId="10E42BA1" w:rsidR="005C61DD" w:rsidRDefault="005C61DD" w:rsidP="005C61DD">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CUARTA. </w:t>
      </w:r>
      <w:r w:rsidR="00F7352A">
        <w:rPr>
          <w:rFonts w:asciiTheme="minorHAnsi" w:eastAsia="Batang" w:hAnsiTheme="minorHAnsi" w:cstheme="minorHAnsi"/>
          <w:i/>
          <w:iCs/>
          <w:sz w:val="22"/>
          <w:szCs w:val="22"/>
        </w:rPr>
        <w:t xml:space="preserve">Por determinación de este órgano colegiado, mediante Acuerdo III/23/2020, punto CUARTO, se establecieron los asuntos </w:t>
      </w:r>
      <w:r>
        <w:rPr>
          <w:rFonts w:asciiTheme="minorHAnsi" w:eastAsia="Batang" w:hAnsiTheme="minorHAnsi" w:cstheme="minorHAnsi"/>
          <w:i/>
          <w:iCs/>
          <w:sz w:val="22"/>
          <w:szCs w:val="22"/>
        </w:rPr>
        <w:t xml:space="preserve">considerados urgentes en materia penal, como fue precisado en el punto 5 que antecede. </w:t>
      </w:r>
    </w:p>
    <w:p w14:paraId="6840CB0C" w14:textId="52124F4B" w:rsidR="005C61DD" w:rsidRDefault="005C61DD" w:rsidP="005C61DD">
      <w:pPr>
        <w:pStyle w:val="NormalWeb"/>
        <w:spacing w:before="0" w:beforeAutospacing="0" w:after="0" w:afterAutospacing="0" w:line="480" w:lineRule="auto"/>
        <w:jc w:val="both"/>
        <w:rPr>
          <w:rFonts w:asciiTheme="minorHAnsi" w:eastAsia="Batang" w:hAnsiTheme="minorHAnsi" w:cstheme="minorHAnsi"/>
          <w:i/>
          <w:iCs/>
          <w:sz w:val="22"/>
          <w:szCs w:val="22"/>
        </w:rPr>
      </w:pPr>
      <w:r>
        <w:rPr>
          <w:rFonts w:asciiTheme="minorHAnsi" w:eastAsia="Batang" w:hAnsiTheme="minorHAnsi" w:cstheme="minorHAnsi"/>
          <w:i/>
          <w:iCs/>
          <w:sz w:val="22"/>
          <w:szCs w:val="22"/>
        </w:rPr>
        <w:t xml:space="preserve">QUINTA. Mediante Acuerdo </w:t>
      </w:r>
      <w:r>
        <w:rPr>
          <w:rFonts w:asciiTheme="minorHAnsi" w:eastAsia="Batang" w:hAnsiTheme="minorHAnsi" w:cstheme="minorHAnsi"/>
          <w:b/>
          <w:bCs/>
          <w:i/>
          <w:iCs/>
          <w:sz w:val="22"/>
          <w:szCs w:val="22"/>
        </w:rPr>
        <w:t xml:space="preserve">II/36/2020, </w:t>
      </w:r>
      <w:r>
        <w:rPr>
          <w:rFonts w:asciiTheme="minorHAnsi" w:eastAsia="Batang" w:hAnsiTheme="minorHAnsi" w:cstheme="minorHAnsi"/>
          <w:i/>
          <w:iCs/>
          <w:sz w:val="22"/>
          <w:szCs w:val="22"/>
        </w:rPr>
        <w:t xml:space="preserve">este órgano colegiado determinó levantar a partir del uno de agosto de dos mil veinte, la suspensión de plazos y términos exclusivamente para la primera instancia en materia penal. </w:t>
      </w:r>
    </w:p>
    <w:p w14:paraId="2378E18A" w14:textId="5FC4173C" w:rsidR="005C61DD" w:rsidRPr="0063532B" w:rsidRDefault="005C61DD" w:rsidP="005C61DD">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iCs/>
          <w:sz w:val="22"/>
          <w:szCs w:val="22"/>
        </w:rPr>
        <w:t xml:space="preserve">Comuníquese el presente acuerdo a la Maestra Brenda Maldonado Sánchez, </w:t>
      </w:r>
      <w:r w:rsidRPr="005C61DD">
        <w:rPr>
          <w:rFonts w:asciiTheme="minorHAnsi" w:eastAsia="Batang" w:hAnsiTheme="minorHAnsi" w:cstheme="minorHAnsi"/>
          <w:i/>
          <w:iCs/>
          <w:sz w:val="22"/>
          <w:szCs w:val="22"/>
        </w:rPr>
        <w:t>Encargada de la Subprocuraduría de Operaciones, en términos del artículo 42 fracción II de la Ley Orgánica de la Institución del Ministerio Público del Estado de Tlaxcala</w:t>
      </w:r>
      <w:r>
        <w:rPr>
          <w:rFonts w:asciiTheme="minorHAnsi" w:eastAsia="Batang" w:hAnsiTheme="minorHAnsi" w:cstheme="minorHAnsi"/>
          <w:i/>
          <w:iCs/>
          <w:sz w:val="22"/>
          <w:szCs w:val="22"/>
        </w:rPr>
        <w:t>, en respuesta a su oficio</w:t>
      </w:r>
      <w:r w:rsidR="00A21BF9">
        <w:rPr>
          <w:rFonts w:asciiTheme="minorHAnsi" w:eastAsia="Batang" w:hAnsiTheme="minorHAnsi" w:cstheme="minorHAnsi"/>
          <w:i/>
          <w:iCs/>
          <w:sz w:val="22"/>
          <w:szCs w:val="22"/>
        </w:rPr>
        <w:t xml:space="preserve">. </w:t>
      </w:r>
      <w:r w:rsidR="0063532B" w:rsidRPr="00941076">
        <w:rPr>
          <w:rFonts w:asciiTheme="minorHAnsi" w:eastAsia="Batang" w:hAnsiTheme="minorHAnsi" w:cstheme="minorHAnsi"/>
          <w:sz w:val="22"/>
          <w:szCs w:val="22"/>
          <w:u w:val="single"/>
        </w:rPr>
        <w:t xml:space="preserve">APROBADO POR </w:t>
      </w:r>
      <w:r w:rsidR="00941076" w:rsidRPr="00941076">
        <w:rPr>
          <w:rFonts w:asciiTheme="minorHAnsi" w:eastAsia="Batang" w:hAnsiTheme="minorHAnsi" w:cstheme="minorHAnsi"/>
          <w:sz w:val="22"/>
          <w:szCs w:val="22"/>
          <w:u w:val="single"/>
        </w:rPr>
        <w:t>UNANIMIDAD</w:t>
      </w:r>
      <w:r w:rsidR="0063532B" w:rsidRPr="00941076">
        <w:rPr>
          <w:rFonts w:asciiTheme="minorHAnsi" w:eastAsia="Batang" w:hAnsiTheme="minorHAnsi" w:cstheme="minorHAnsi"/>
          <w:sz w:val="22"/>
          <w:szCs w:val="22"/>
          <w:u w:val="single"/>
        </w:rPr>
        <w:t xml:space="preserve"> DEVOTOS</w:t>
      </w:r>
      <w:r w:rsidR="0063532B">
        <w:rPr>
          <w:rFonts w:asciiTheme="minorHAnsi" w:eastAsia="Batang" w:hAnsiTheme="minorHAnsi" w:cstheme="minorHAnsi"/>
          <w:sz w:val="22"/>
          <w:szCs w:val="22"/>
        </w:rPr>
        <w:t xml:space="preserve">. </w:t>
      </w:r>
      <w:r w:rsidR="00941076">
        <w:rPr>
          <w:rFonts w:asciiTheme="minorHAnsi" w:eastAsia="Batang" w:hAnsiTheme="minorHAnsi" w:cstheme="minorHAnsi"/>
          <w:sz w:val="22"/>
          <w:szCs w:val="22"/>
        </w:rPr>
        <w:t xml:space="preserve">- - - - - - - - - - </w:t>
      </w:r>
      <w:r w:rsidR="00A21BF9">
        <w:rPr>
          <w:rFonts w:asciiTheme="minorHAnsi" w:eastAsia="Batang" w:hAnsiTheme="minorHAnsi" w:cstheme="minorHAnsi"/>
          <w:sz w:val="22"/>
          <w:szCs w:val="22"/>
        </w:rPr>
        <w:t xml:space="preserve">- - - - - - - - - - - - - - - - - </w:t>
      </w:r>
    </w:p>
    <w:p w14:paraId="6A1E4C0B" w14:textId="3415F742" w:rsidR="00933F97" w:rsidRPr="00BA4AE5" w:rsidRDefault="005C61DD" w:rsidP="005C61DD">
      <w:pPr>
        <w:pStyle w:val="NormalWeb"/>
        <w:spacing w:before="0" w:beforeAutospacing="0" w:after="0" w:afterAutospacing="0" w:line="480" w:lineRule="auto"/>
        <w:jc w:val="both"/>
        <w:rPr>
          <w:rFonts w:asciiTheme="minorHAnsi" w:hAnsiTheme="minorHAnsi" w:cstheme="minorHAnsi"/>
        </w:rPr>
      </w:pPr>
      <w:r w:rsidRPr="005C61DD">
        <w:rPr>
          <w:rFonts w:asciiTheme="minorHAnsi" w:eastAsia="Batang" w:hAnsiTheme="minorHAnsi" w:cstheme="minorHAnsi"/>
          <w:sz w:val="22"/>
          <w:szCs w:val="22"/>
        </w:rPr>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7670AE">
        <w:rPr>
          <w:rFonts w:asciiTheme="minorHAnsi" w:hAnsiTheme="minorHAnsi" w:cstheme="minorHAnsi"/>
        </w:rPr>
        <w:t xml:space="preserve"> </w:t>
      </w:r>
      <w:r w:rsidR="00941076">
        <w:rPr>
          <w:rFonts w:asciiTheme="minorHAnsi" w:hAnsiTheme="minorHAnsi" w:cstheme="minorHAnsi"/>
        </w:rPr>
        <w:t xml:space="preserve">trece </w:t>
      </w:r>
      <w:r w:rsidR="007F6F96" w:rsidRPr="00BA4AE5">
        <w:rPr>
          <w:rFonts w:asciiTheme="minorHAnsi" w:hAnsiTheme="minorHAnsi" w:cstheme="minorHAnsi"/>
        </w:rPr>
        <w:t xml:space="preserve">horas con </w:t>
      </w:r>
      <w:r w:rsidR="00941076">
        <w:rPr>
          <w:rFonts w:asciiTheme="minorHAnsi" w:hAnsiTheme="minorHAnsi" w:cstheme="minorHAnsi"/>
        </w:rPr>
        <w:t>doce</w:t>
      </w:r>
      <w:r w:rsidR="00603F84" w:rsidRPr="00BA4AE5">
        <w:rPr>
          <w:rFonts w:asciiTheme="minorHAnsi" w:hAnsiTheme="minorHAnsi" w:cstheme="minorHAnsi"/>
        </w:rPr>
        <w:t xml:space="preserve"> </w:t>
      </w:r>
      <w:r w:rsidR="007F6F96" w:rsidRPr="00BA4AE5">
        <w:rPr>
          <w:rFonts w:asciiTheme="minorHAnsi" w:hAnsiTheme="minorHAnsi" w:cstheme="minorHAnsi"/>
        </w:rPr>
        <w:t>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r w:rsidR="00941076">
        <w:rPr>
          <w:rFonts w:asciiTheme="minorHAnsi" w:hAnsiTheme="minorHAnsi" w:cstheme="minorHAnsi"/>
        </w:rPr>
        <w:t xml:space="preserve">- - - - - - - - - - - - - - - - - - - - - - - - - - - -- - - - - - -- - - - - - - - - -- </w:t>
      </w:r>
    </w:p>
    <w:p w14:paraId="1D7DEF35" w14:textId="2C8BE962" w:rsidR="00734043" w:rsidRDefault="00734043" w:rsidP="008F5ABF">
      <w:pPr>
        <w:spacing w:after="0" w:line="480" w:lineRule="auto"/>
        <w:ind w:firstLine="708"/>
        <w:jc w:val="both"/>
        <w:rPr>
          <w:rFonts w:asciiTheme="minorHAnsi" w:eastAsia="Batang" w:hAnsiTheme="minorHAnsi" w:cstheme="minorHAnsi"/>
        </w:rPr>
      </w:pPr>
    </w:p>
    <w:p w14:paraId="0E85133F" w14:textId="77777777" w:rsidR="00AB0803" w:rsidRPr="00BA4AE5" w:rsidRDefault="00AB080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950CCF">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Magistrado Presidente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EB5A89">
        <w:tc>
          <w:tcPr>
            <w:tcW w:w="7792" w:type="dxa"/>
            <w:gridSpan w:val="3"/>
          </w:tcPr>
          <w:p w14:paraId="2BBB661A" w14:textId="77777777" w:rsidR="007A49BE" w:rsidRPr="00BA4AE5" w:rsidRDefault="008A2A9D" w:rsidP="000A5725">
            <w:pPr>
              <w:spacing w:after="0"/>
              <w:rPr>
                <w:rFonts w:asciiTheme="minorHAnsi" w:hAnsiTheme="minorHAnsi" w:cstheme="minorHAnsi"/>
              </w:rPr>
            </w:pPr>
            <w:r w:rsidRPr="00BA4AE5">
              <w:rPr>
                <w:rFonts w:asciiTheme="minorHAnsi" w:hAnsiTheme="minorHAnsi" w:cstheme="minorHAnsi"/>
                <w:b/>
                <w:bCs/>
              </w:rPr>
              <w:t xml:space="preserve"> </w:t>
            </w:r>
          </w:p>
        </w:tc>
      </w:tr>
      <w:tr w:rsidR="004F01ED" w:rsidRPr="00BA4AE5" w14:paraId="4E643D45" w14:textId="77777777" w:rsidTr="00950CCF">
        <w:trPr>
          <w:trHeight w:val="317"/>
        </w:trPr>
        <w:tc>
          <w:tcPr>
            <w:tcW w:w="7792" w:type="dxa"/>
            <w:gridSpan w:val="3"/>
          </w:tcPr>
          <w:p w14:paraId="494D4D02" w14:textId="77777777" w:rsidR="00734043" w:rsidRDefault="00734043"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950CCF">
        <w:trPr>
          <w:trHeight w:val="317"/>
        </w:trPr>
        <w:tc>
          <w:tcPr>
            <w:tcW w:w="3681" w:type="dxa"/>
          </w:tcPr>
          <w:p w14:paraId="768F5F26" w14:textId="77777777" w:rsidR="007A49BE" w:rsidRPr="00BA4AE5" w:rsidRDefault="007A49BE" w:rsidP="00375963">
            <w:pPr>
              <w:spacing w:after="0"/>
              <w:jc w:val="center"/>
              <w:rPr>
                <w:rFonts w:asciiTheme="minorHAnsi" w:hAnsiTheme="minorHAnsi" w:cstheme="minorHAnsi"/>
              </w:rPr>
            </w:pPr>
          </w:p>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064D2B67" w14:textId="77777777" w:rsidR="007A49BE" w:rsidRPr="00BA4AE5" w:rsidRDefault="007A49BE" w:rsidP="00375963">
            <w:pPr>
              <w:spacing w:after="0"/>
              <w:jc w:val="both"/>
              <w:rPr>
                <w:rFonts w:asciiTheme="minorHAnsi" w:hAnsiTheme="minorHAnsi" w:cstheme="minorHAnsi"/>
              </w:rPr>
            </w:pPr>
          </w:p>
        </w:tc>
        <w:tc>
          <w:tcPr>
            <w:tcW w:w="3556" w:type="dxa"/>
          </w:tcPr>
          <w:p w14:paraId="5986D0CE" w14:textId="77777777" w:rsidR="007A49BE" w:rsidRPr="00BA4AE5" w:rsidRDefault="007A49BE" w:rsidP="00375963">
            <w:pPr>
              <w:spacing w:after="0"/>
              <w:jc w:val="center"/>
              <w:rPr>
                <w:rFonts w:asciiTheme="minorHAnsi" w:hAnsiTheme="minorHAnsi" w:cstheme="minorHAnsi"/>
              </w:rPr>
            </w:pPr>
          </w:p>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95B456C" w14:textId="77777777" w:rsidR="00497684" w:rsidRPr="00BA4AE5" w:rsidRDefault="00497684" w:rsidP="00375963">
            <w:pPr>
              <w:spacing w:after="0"/>
              <w:jc w:val="center"/>
              <w:rPr>
                <w:rFonts w:asciiTheme="minorHAnsi" w:hAnsiTheme="minorHAnsi" w:cstheme="minorHAnsi"/>
              </w:rPr>
            </w:pPr>
          </w:p>
        </w:tc>
      </w:tr>
      <w:tr w:rsidR="00DE2EBB" w:rsidRPr="00BA4AE5" w14:paraId="592E271A" w14:textId="77777777" w:rsidTr="00950CCF">
        <w:trPr>
          <w:trHeight w:val="317"/>
        </w:trPr>
        <w:tc>
          <w:tcPr>
            <w:tcW w:w="7792" w:type="dxa"/>
            <w:gridSpan w:val="3"/>
          </w:tcPr>
          <w:p w14:paraId="6BA88455" w14:textId="77777777" w:rsidR="00DE2EBB" w:rsidRPr="00BA4AE5"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4B308258" w14:textId="4CBC87B9" w:rsidR="00801471" w:rsidRDefault="00801471" w:rsidP="00375963">
            <w:pPr>
              <w:spacing w:after="0"/>
              <w:jc w:val="center"/>
              <w:rPr>
                <w:rFonts w:asciiTheme="minorHAnsi" w:hAnsiTheme="minorHAnsi" w:cstheme="minorHAnsi"/>
              </w:rPr>
            </w:pPr>
          </w:p>
          <w:p w14:paraId="77AF9D85" w14:textId="35901095" w:rsidR="00BA4AE5" w:rsidRDefault="00BA4AE5" w:rsidP="00375963">
            <w:pPr>
              <w:spacing w:after="0"/>
              <w:jc w:val="center"/>
              <w:rPr>
                <w:rFonts w:asciiTheme="minorHAnsi" w:hAnsiTheme="minorHAnsi" w:cstheme="minorHAnsi"/>
              </w:rPr>
            </w:pPr>
          </w:p>
          <w:p w14:paraId="72D8E936" w14:textId="77777777" w:rsidR="00AB0803" w:rsidRDefault="00AB0803" w:rsidP="00375963">
            <w:pPr>
              <w:spacing w:after="0"/>
              <w:jc w:val="center"/>
              <w:rPr>
                <w:rFonts w:asciiTheme="minorHAnsi" w:hAnsiTheme="minorHAnsi" w:cstheme="minorHAnsi"/>
              </w:rPr>
            </w:pPr>
          </w:p>
          <w:p w14:paraId="196D9B23" w14:textId="77777777" w:rsidR="00BA4AE5" w:rsidRPr="00BA4AE5" w:rsidRDefault="00BA4AE5" w:rsidP="00375963">
            <w:pPr>
              <w:spacing w:after="0"/>
              <w:jc w:val="center"/>
              <w:rPr>
                <w:rFonts w:asciiTheme="minorHAnsi" w:hAnsiTheme="minorHAnsi" w:cstheme="minorHAnsi"/>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7777777" w:rsidR="00DB1673" w:rsidRPr="00BA4AE5" w:rsidRDefault="00DB1673" w:rsidP="00051AFA">
      <w:pPr>
        <w:spacing w:after="0" w:line="480" w:lineRule="auto"/>
        <w:jc w:val="both"/>
        <w:rPr>
          <w:rFonts w:asciiTheme="minorHAnsi" w:hAnsiTheme="minorHAnsi" w:cstheme="minorHAnsi"/>
        </w:rPr>
      </w:pPr>
    </w:p>
    <w:p w14:paraId="1D21891C" w14:textId="77777777" w:rsidR="000C2718" w:rsidRPr="00BA4AE5" w:rsidRDefault="000C2718" w:rsidP="00051AFA">
      <w:pPr>
        <w:spacing w:after="0" w:line="480" w:lineRule="auto"/>
        <w:jc w:val="both"/>
        <w:rPr>
          <w:rFonts w:asciiTheme="minorHAnsi" w:hAnsiTheme="minorHAnsi" w:cstheme="minorHAnsi"/>
        </w:rPr>
      </w:pPr>
    </w:p>
    <w:sectPr w:rsidR="000C2718" w:rsidRPr="00BA4AE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456A" w14:textId="77777777" w:rsidR="00FC6750" w:rsidRDefault="00FC6750" w:rsidP="004567A4">
      <w:pPr>
        <w:spacing w:after="0" w:line="240" w:lineRule="auto"/>
      </w:pPr>
      <w:r>
        <w:separator/>
      </w:r>
    </w:p>
  </w:endnote>
  <w:endnote w:type="continuationSeparator" w:id="0">
    <w:p w14:paraId="1926B18F" w14:textId="77777777" w:rsidR="00FC6750" w:rsidRDefault="00FC675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E97664" w:rsidRDefault="00E97664">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E97664" w:rsidRDefault="00E97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FE91" w14:textId="77777777" w:rsidR="00FC6750" w:rsidRDefault="00FC6750" w:rsidP="004567A4">
      <w:pPr>
        <w:spacing w:after="0" w:line="240" w:lineRule="auto"/>
      </w:pPr>
      <w:r>
        <w:separator/>
      </w:r>
    </w:p>
  </w:footnote>
  <w:footnote w:type="continuationSeparator" w:id="0">
    <w:p w14:paraId="53BA5CB2" w14:textId="77777777" w:rsidR="00FC6750" w:rsidRDefault="00FC675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D89F8EC" w:rsidR="00E97664" w:rsidRDefault="00E97664"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3</w:t>
    </w:r>
    <w:r w:rsidR="007E0C2F">
      <w:rPr>
        <w:rFonts w:asciiTheme="minorHAnsi" w:hAnsiTheme="minorHAnsi" w:cstheme="minorHAnsi"/>
        <w:b/>
      </w:rPr>
      <w:t>9</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E97664" w:rsidRDefault="00E9766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E97664" w:rsidRDefault="00E9766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2BC2DF8"/>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D1119F"/>
    <w:multiLevelType w:val="hybridMultilevel"/>
    <w:tmpl w:val="2D3E23E4"/>
    <w:lvl w:ilvl="0" w:tplc="080A001B">
      <w:start w:val="1"/>
      <w:numFmt w:val="lowerRoman"/>
      <w:lvlText w:val="%1."/>
      <w:lvlJc w:val="right"/>
      <w:pPr>
        <w:ind w:left="850" w:hanging="360"/>
      </w:pPr>
    </w:lvl>
    <w:lvl w:ilvl="1" w:tplc="080A001B">
      <w:start w:val="1"/>
      <w:numFmt w:val="lowerRoman"/>
      <w:lvlText w:val="%2."/>
      <w:lvlJc w:val="right"/>
      <w:pPr>
        <w:ind w:left="1570" w:hanging="360"/>
      </w:pPr>
    </w:lvl>
    <w:lvl w:ilvl="2" w:tplc="6E80BF60">
      <w:start w:val="2"/>
      <w:numFmt w:val="upperLetter"/>
      <w:lvlText w:val="%3."/>
      <w:lvlJc w:val="left"/>
      <w:pPr>
        <w:ind w:left="2470" w:hanging="360"/>
      </w:pPr>
      <w:rPr>
        <w:rFonts w:hint="default"/>
      </w:rPr>
    </w:lvl>
    <w:lvl w:ilvl="3" w:tplc="080A000F" w:tentative="1">
      <w:start w:val="1"/>
      <w:numFmt w:val="decimal"/>
      <w:lvlText w:val="%4."/>
      <w:lvlJc w:val="left"/>
      <w:pPr>
        <w:ind w:left="3010" w:hanging="360"/>
      </w:pPr>
    </w:lvl>
    <w:lvl w:ilvl="4" w:tplc="080A0019" w:tentative="1">
      <w:start w:val="1"/>
      <w:numFmt w:val="lowerLetter"/>
      <w:lvlText w:val="%5."/>
      <w:lvlJc w:val="left"/>
      <w:pPr>
        <w:ind w:left="3730" w:hanging="360"/>
      </w:pPr>
    </w:lvl>
    <w:lvl w:ilvl="5" w:tplc="080A001B" w:tentative="1">
      <w:start w:val="1"/>
      <w:numFmt w:val="lowerRoman"/>
      <w:lvlText w:val="%6."/>
      <w:lvlJc w:val="right"/>
      <w:pPr>
        <w:ind w:left="4450" w:hanging="180"/>
      </w:pPr>
    </w:lvl>
    <w:lvl w:ilvl="6" w:tplc="080A000F" w:tentative="1">
      <w:start w:val="1"/>
      <w:numFmt w:val="decimal"/>
      <w:lvlText w:val="%7."/>
      <w:lvlJc w:val="left"/>
      <w:pPr>
        <w:ind w:left="5170" w:hanging="360"/>
      </w:pPr>
    </w:lvl>
    <w:lvl w:ilvl="7" w:tplc="080A0019" w:tentative="1">
      <w:start w:val="1"/>
      <w:numFmt w:val="lowerLetter"/>
      <w:lvlText w:val="%8."/>
      <w:lvlJc w:val="left"/>
      <w:pPr>
        <w:ind w:left="5890" w:hanging="360"/>
      </w:pPr>
    </w:lvl>
    <w:lvl w:ilvl="8" w:tplc="080A001B" w:tentative="1">
      <w:start w:val="1"/>
      <w:numFmt w:val="lowerRoman"/>
      <w:lvlText w:val="%9."/>
      <w:lvlJc w:val="right"/>
      <w:pPr>
        <w:ind w:left="6610" w:hanging="180"/>
      </w:pPr>
    </w:lvl>
  </w:abstractNum>
  <w:abstractNum w:abstractNumId="4"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546F6B0B"/>
    <w:multiLevelType w:val="hybridMultilevel"/>
    <w:tmpl w:val="3036F2E4"/>
    <w:lvl w:ilvl="0" w:tplc="F05C9F78">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45E7"/>
    <w:rsid w:val="000A5083"/>
    <w:rsid w:val="000A5725"/>
    <w:rsid w:val="000A712C"/>
    <w:rsid w:val="000B2B23"/>
    <w:rsid w:val="000B3F89"/>
    <w:rsid w:val="000B44FB"/>
    <w:rsid w:val="000B4DFB"/>
    <w:rsid w:val="000B50CE"/>
    <w:rsid w:val="000B64C8"/>
    <w:rsid w:val="000C0279"/>
    <w:rsid w:val="000C2718"/>
    <w:rsid w:val="000C79E1"/>
    <w:rsid w:val="000C7E73"/>
    <w:rsid w:val="000D027E"/>
    <w:rsid w:val="000D07B1"/>
    <w:rsid w:val="000D27B8"/>
    <w:rsid w:val="000D2FF5"/>
    <w:rsid w:val="000D358D"/>
    <w:rsid w:val="000D427E"/>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F0B"/>
    <w:rsid w:val="00106A8A"/>
    <w:rsid w:val="001078B6"/>
    <w:rsid w:val="00107FC7"/>
    <w:rsid w:val="00111998"/>
    <w:rsid w:val="00111CF2"/>
    <w:rsid w:val="00113711"/>
    <w:rsid w:val="001144F2"/>
    <w:rsid w:val="00116A23"/>
    <w:rsid w:val="0012015E"/>
    <w:rsid w:val="00120AA3"/>
    <w:rsid w:val="00120FE9"/>
    <w:rsid w:val="001237B2"/>
    <w:rsid w:val="00123FAA"/>
    <w:rsid w:val="00125679"/>
    <w:rsid w:val="00125B36"/>
    <w:rsid w:val="001270C1"/>
    <w:rsid w:val="00127865"/>
    <w:rsid w:val="0013228F"/>
    <w:rsid w:val="0013476F"/>
    <w:rsid w:val="00135576"/>
    <w:rsid w:val="00135F2B"/>
    <w:rsid w:val="00135FA7"/>
    <w:rsid w:val="001371C2"/>
    <w:rsid w:val="0014079B"/>
    <w:rsid w:val="00140B15"/>
    <w:rsid w:val="00140ED7"/>
    <w:rsid w:val="0014112E"/>
    <w:rsid w:val="00142477"/>
    <w:rsid w:val="00146808"/>
    <w:rsid w:val="00146FB5"/>
    <w:rsid w:val="00155AF5"/>
    <w:rsid w:val="00156A5C"/>
    <w:rsid w:val="0016178D"/>
    <w:rsid w:val="00162F75"/>
    <w:rsid w:val="00163328"/>
    <w:rsid w:val="00164237"/>
    <w:rsid w:val="0016480F"/>
    <w:rsid w:val="00164C43"/>
    <w:rsid w:val="00165CD8"/>
    <w:rsid w:val="00165D2A"/>
    <w:rsid w:val="00167B21"/>
    <w:rsid w:val="00170572"/>
    <w:rsid w:val="00170D68"/>
    <w:rsid w:val="00171284"/>
    <w:rsid w:val="0017302C"/>
    <w:rsid w:val="00173C90"/>
    <w:rsid w:val="00173DC6"/>
    <w:rsid w:val="001755EF"/>
    <w:rsid w:val="00175D73"/>
    <w:rsid w:val="0018006B"/>
    <w:rsid w:val="00180429"/>
    <w:rsid w:val="00180776"/>
    <w:rsid w:val="00180A49"/>
    <w:rsid w:val="00184148"/>
    <w:rsid w:val="0018582E"/>
    <w:rsid w:val="00185D81"/>
    <w:rsid w:val="00186CC1"/>
    <w:rsid w:val="001908D7"/>
    <w:rsid w:val="0019114D"/>
    <w:rsid w:val="00191C69"/>
    <w:rsid w:val="001932A3"/>
    <w:rsid w:val="001936F5"/>
    <w:rsid w:val="00194359"/>
    <w:rsid w:val="001959E4"/>
    <w:rsid w:val="001A0D0F"/>
    <w:rsid w:val="001A548A"/>
    <w:rsid w:val="001A6345"/>
    <w:rsid w:val="001B0105"/>
    <w:rsid w:val="001B0557"/>
    <w:rsid w:val="001B0EF4"/>
    <w:rsid w:val="001B0FD4"/>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03649"/>
    <w:rsid w:val="00211398"/>
    <w:rsid w:val="00212B26"/>
    <w:rsid w:val="00212C94"/>
    <w:rsid w:val="00213A86"/>
    <w:rsid w:val="00216750"/>
    <w:rsid w:val="00216923"/>
    <w:rsid w:val="00217E22"/>
    <w:rsid w:val="00220183"/>
    <w:rsid w:val="00220756"/>
    <w:rsid w:val="002245DF"/>
    <w:rsid w:val="00224653"/>
    <w:rsid w:val="00226330"/>
    <w:rsid w:val="0022699F"/>
    <w:rsid w:val="00231F50"/>
    <w:rsid w:val="00232BC7"/>
    <w:rsid w:val="00233FEA"/>
    <w:rsid w:val="00235932"/>
    <w:rsid w:val="00235A39"/>
    <w:rsid w:val="002364FD"/>
    <w:rsid w:val="0023691E"/>
    <w:rsid w:val="00240FB9"/>
    <w:rsid w:val="00241662"/>
    <w:rsid w:val="0024189A"/>
    <w:rsid w:val="002432DB"/>
    <w:rsid w:val="002448AA"/>
    <w:rsid w:val="00244F0D"/>
    <w:rsid w:val="00245079"/>
    <w:rsid w:val="0024514B"/>
    <w:rsid w:val="00246A43"/>
    <w:rsid w:val="00251DDB"/>
    <w:rsid w:val="00252CF7"/>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6A2B"/>
    <w:rsid w:val="0027731F"/>
    <w:rsid w:val="00283D87"/>
    <w:rsid w:val="00284E55"/>
    <w:rsid w:val="00286E0C"/>
    <w:rsid w:val="00287D3C"/>
    <w:rsid w:val="00290714"/>
    <w:rsid w:val="00291490"/>
    <w:rsid w:val="00291A8A"/>
    <w:rsid w:val="00292300"/>
    <w:rsid w:val="00292CDB"/>
    <w:rsid w:val="00293DEB"/>
    <w:rsid w:val="00293FE1"/>
    <w:rsid w:val="00295C7C"/>
    <w:rsid w:val="002A0713"/>
    <w:rsid w:val="002A0856"/>
    <w:rsid w:val="002A1DE1"/>
    <w:rsid w:val="002A38BE"/>
    <w:rsid w:val="002A5DDD"/>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2875"/>
    <w:rsid w:val="00302AD4"/>
    <w:rsid w:val="00302D8B"/>
    <w:rsid w:val="00302E4C"/>
    <w:rsid w:val="00303E12"/>
    <w:rsid w:val="003047E9"/>
    <w:rsid w:val="00305689"/>
    <w:rsid w:val="00306ABA"/>
    <w:rsid w:val="003100F9"/>
    <w:rsid w:val="00311289"/>
    <w:rsid w:val="00316EF0"/>
    <w:rsid w:val="003174B9"/>
    <w:rsid w:val="00317C51"/>
    <w:rsid w:val="00317C71"/>
    <w:rsid w:val="00320DCC"/>
    <w:rsid w:val="00321149"/>
    <w:rsid w:val="003227D0"/>
    <w:rsid w:val="0032780E"/>
    <w:rsid w:val="00331154"/>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FC7"/>
    <w:rsid w:val="0035401A"/>
    <w:rsid w:val="00354616"/>
    <w:rsid w:val="003564B9"/>
    <w:rsid w:val="00357CA9"/>
    <w:rsid w:val="00361541"/>
    <w:rsid w:val="00361DC3"/>
    <w:rsid w:val="003640C2"/>
    <w:rsid w:val="00364D62"/>
    <w:rsid w:val="00365C6C"/>
    <w:rsid w:val="00366DB0"/>
    <w:rsid w:val="00371F63"/>
    <w:rsid w:val="003720C6"/>
    <w:rsid w:val="003725EC"/>
    <w:rsid w:val="00374045"/>
    <w:rsid w:val="00374940"/>
    <w:rsid w:val="00375087"/>
    <w:rsid w:val="00375963"/>
    <w:rsid w:val="00375FA3"/>
    <w:rsid w:val="003801D7"/>
    <w:rsid w:val="0038284C"/>
    <w:rsid w:val="003863DC"/>
    <w:rsid w:val="00386DEB"/>
    <w:rsid w:val="003909A3"/>
    <w:rsid w:val="00390EF7"/>
    <w:rsid w:val="00393940"/>
    <w:rsid w:val="00393F90"/>
    <w:rsid w:val="0039542D"/>
    <w:rsid w:val="00395B9D"/>
    <w:rsid w:val="003A1F1B"/>
    <w:rsid w:val="003A3390"/>
    <w:rsid w:val="003A4929"/>
    <w:rsid w:val="003A5963"/>
    <w:rsid w:val="003A618C"/>
    <w:rsid w:val="003A6297"/>
    <w:rsid w:val="003B0193"/>
    <w:rsid w:val="003B31DE"/>
    <w:rsid w:val="003B4A32"/>
    <w:rsid w:val="003B5D73"/>
    <w:rsid w:val="003B683D"/>
    <w:rsid w:val="003C0327"/>
    <w:rsid w:val="003C0FAD"/>
    <w:rsid w:val="003C118C"/>
    <w:rsid w:val="003C1F78"/>
    <w:rsid w:val="003C29E2"/>
    <w:rsid w:val="003C362F"/>
    <w:rsid w:val="003C4D39"/>
    <w:rsid w:val="003D2287"/>
    <w:rsid w:val="003D3F8C"/>
    <w:rsid w:val="003D467E"/>
    <w:rsid w:val="003D508A"/>
    <w:rsid w:val="003D5CB6"/>
    <w:rsid w:val="003D7AAB"/>
    <w:rsid w:val="003E0A59"/>
    <w:rsid w:val="003E4A12"/>
    <w:rsid w:val="003E4AE0"/>
    <w:rsid w:val="003E60F1"/>
    <w:rsid w:val="003E7BAD"/>
    <w:rsid w:val="003F04ED"/>
    <w:rsid w:val="003F1140"/>
    <w:rsid w:val="003F2384"/>
    <w:rsid w:val="003F2617"/>
    <w:rsid w:val="003F4F6B"/>
    <w:rsid w:val="003F59C3"/>
    <w:rsid w:val="003F6344"/>
    <w:rsid w:val="003F6942"/>
    <w:rsid w:val="00400995"/>
    <w:rsid w:val="00400E4D"/>
    <w:rsid w:val="00401EF4"/>
    <w:rsid w:val="00403448"/>
    <w:rsid w:val="004060DF"/>
    <w:rsid w:val="00412D03"/>
    <w:rsid w:val="0041311F"/>
    <w:rsid w:val="004140D5"/>
    <w:rsid w:val="00416922"/>
    <w:rsid w:val="00423286"/>
    <w:rsid w:val="00425D35"/>
    <w:rsid w:val="00426601"/>
    <w:rsid w:val="00426656"/>
    <w:rsid w:val="004266BD"/>
    <w:rsid w:val="00430367"/>
    <w:rsid w:val="00432560"/>
    <w:rsid w:val="00434960"/>
    <w:rsid w:val="004362E6"/>
    <w:rsid w:val="00436D93"/>
    <w:rsid w:val="00440357"/>
    <w:rsid w:val="004409A3"/>
    <w:rsid w:val="00441419"/>
    <w:rsid w:val="00441DC3"/>
    <w:rsid w:val="00443437"/>
    <w:rsid w:val="004435C6"/>
    <w:rsid w:val="004435F2"/>
    <w:rsid w:val="00443B50"/>
    <w:rsid w:val="00443F6A"/>
    <w:rsid w:val="0044558D"/>
    <w:rsid w:val="0044566F"/>
    <w:rsid w:val="00446558"/>
    <w:rsid w:val="0044697D"/>
    <w:rsid w:val="00452325"/>
    <w:rsid w:val="004530D0"/>
    <w:rsid w:val="004539D4"/>
    <w:rsid w:val="00453FBE"/>
    <w:rsid w:val="004553CD"/>
    <w:rsid w:val="00455D35"/>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5B50"/>
    <w:rsid w:val="004B6051"/>
    <w:rsid w:val="004B7594"/>
    <w:rsid w:val="004B7B01"/>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0A97"/>
    <w:rsid w:val="004F15AB"/>
    <w:rsid w:val="004F1B8C"/>
    <w:rsid w:val="004F1F11"/>
    <w:rsid w:val="004F4574"/>
    <w:rsid w:val="004F4CC7"/>
    <w:rsid w:val="004F5951"/>
    <w:rsid w:val="004F68C5"/>
    <w:rsid w:val="0050104D"/>
    <w:rsid w:val="005016E3"/>
    <w:rsid w:val="00503C06"/>
    <w:rsid w:val="00503F18"/>
    <w:rsid w:val="005047D0"/>
    <w:rsid w:val="005048AB"/>
    <w:rsid w:val="00504FBB"/>
    <w:rsid w:val="0051209F"/>
    <w:rsid w:val="00512CB1"/>
    <w:rsid w:val="005140E5"/>
    <w:rsid w:val="00520A9E"/>
    <w:rsid w:val="00520CC8"/>
    <w:rsid w:val="005226DB"/>
    <w:rsid w:val="005245AF"/>
    <w:rsid w:val="00525A78"/>
    <w:rsid w:val="00527D1E"/>
    <w:rsid w:val="00530182"/>
    <w:rsid w:val="005355DE"/>
    <w:rsid w:val="005408C9"/>
    <w:rsid w:val="00541E34"/>
    <w:rsid w:val="0054213E"/>
    <w:rsid w:val="00542907"/>
    <w:rsid w:val="00542C5B"/>
    <w:rsid w:val="00543596"/>
    <w:rsid w:val="00543CFA"/>
    <w:rsid w:val="00545A5D"/>
    <w:rsid w:val="00546379"/>
    <w:rsid w:val="00546DC5"/>
    <w:rsid w:val="005471AD"/>
    <w:rsid w:val="00547E13"/>
    <w:rsid w:val="00550B2D"/>
    <w:rsid w:val="005519F2"/>
    <w:rsid w:val="0055296B"/>
    <w:rsid w:val="00552E77"/>
    <w:rsid w:val="00555D8C"/>
    <w:rsid w:val="00555E12"/>
    <w:rsid w:val="00557A9F"/>
    <w:rsid w:val="005639DE"/>
    <w:rsid w:val="00563D14"/>
    <w:rsid w:val="00564AC0"/>
    <w:rsid w:val="00564E60"/>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7015"/>
    <w:rsid w:val="005C05FC"/>
    <w:rsid w:val="005C1237"/>
    <w:rsid w:val="005C2F35"/>
    <w:rsid w:val="005C5370"/>
    <w:rsid w:val="005C61DD"/>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2ACF"/>
    <w:rsid w:val="00602BB9"/>
    <w:rsid w:val="00603106"/>
    <w:rsid w:val="00603422"/>
    <w:rsid w:val="00603F84"/>
    <w:rsid w:val="00606BC2"/>
    <w:rsid w:val="0061041D"/>
    <w:rsid w:val="00610794"/>
    <w:rsid w:val="006164D5"/>
    <w:rsid w:val="00621678"/>
    <w:rsid w:val="00622C1C"/>
    <w:rsid w:val="00623C93"/>
    <w:rsid w:val="00626EBF"/>
    <w:rsid w:val="00627402"/>
    <w:rsid w:val="00630AC9"/>
    <w:rsid w:val="00630D6E"/>
    <w:rsid w:val="00633EDF"/>
    <w:rsid w:val="00635006"/>
    <w:rsid w:val="0063532B"/>
    <w:rsid w:val="00635462"/>
    <w:rsid w:val="00636D4D"/>
    <w:rsid w:val="00637550"/>
    <w:rsid w:val="00637BD7"/>
    <w:rsid w:val="00637D2E"/>
    <w:rsid w:val="006406F8"/>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0F5"/>
    <w:rsid w:val="0067226B"/>
    <w:rsid w:val="00673457"/>
    <w:rsid w:val="00675355"/>
    <w:rsid w:val="00676E6C"/>
    <w:rsid w:val="006806D5"/>
    <w:rsid w:val="006822BD"/>
    <w:rsid w:val="006826BB"/>
    <w:rsid w:val="006827D5"/>
    <w:rsid w:val="00684B49"/>
    <w:rsid w:val="00685689"/>
    <w:rsid w:val="006915CA"/>
    <w:rsid w:val="0069599F"/>
    <w:rsid w:val="00695DB5"/>
    <w:rsid w:val="006A15E6"/>
    <w:rsid w:val="006A29A7"/>
    <w:rsid w:val="006A2DAF"/>
    <w:rsid w:val="006A4A83"/>
    <w:rsid w:val="006B3FD4"/>
    <w:rsid w:val="006B7CC3"/>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4174"/>
    <w:rsid w:val="00704504"/>
    <w:rsid w:val="00704F91"/>
    <w:rsid w:val="0070787F"/>
    <w:rsid w:val="00713881"/>
    <w:rsid w:val="00714AC4"/>
    <w:rsid w:val="007154D0"/>
    <w:rsid w:val="00715DA0"/>
    <w:rsid w:val="00727DCD"/>
    <w:rsid w:val="00730068"/>
    <w:rsid w:val="007303BA"/>
    <w:rsid w:val="007306EC"/>
    <w:rsid w:val="00730945"/>
    <w:rsid w:val="00732970"/>
    <w:rsid w:val="00734043"/>
    <w:rsid w:val="007351B7"/>
    <w:rsid w:val="00741B19"/>
    <w:rsid w:val="007435A1"/>
    <w:rsid w:val="00744EF4"/>
    <w:rsid w:val="00746058"/>
    <w:rsid w:val="0074658F"/>
    <w:rsid w:val="0074702E"/>
    <w:rsid w:val="007478B1"/>
    <w:rsid w:val="0074799F"/>
    <w:rsid w:val="00750834"/>
    <w:rsid w:val="00751107"/>
    <w:rsid w:val="0075123E"/>
    <w:rsid w:val="00752297"/>
    <w:rsid w:val="00753125"/>
    <w:rsid w:val="00754218"/>
    <w:rsid w:val="0075556E"/>
    <w:rsid w:val="007610E7"/>
    <w:rsid w:val="007612C6"/>
    <w:rsid w:val="0076485B"/>
    <w:rsid w:val="007657B3"/>
    <w:rsid w:val="007670AE"/>
    <w:rsid w:val="0077215B"/>
    <w:rsid w:val="00772EAF"/>
    <w:rsid w:val="00773159"/>
    <w:rsid w:val="00773EF0"/>
    <w:rsid w:val="007776EE"/>
    <w:rsid w:val="00777BC4"/>
    <w:rsid w:val="00781004"/>
    <w:rsid w:val="00781E75"/>
    <w:rsid w:val="007843BE"/>
    <w:rsid w:val="00785AB8"/>
    <w:rsid w:val="00787189"/>
    <w:rsid w:val="00790932"/>
    <w:rsid w:val="00792937"/>
    <w:rsid w:val="00793853"/>
    <w:rsid w:val="00793CD9"/>
    <w:rsid w:val="00794EB5"/>
    <w:rsid w:val="00795B55"/>
    <w:rsid w:val="00796692"/>
    <w:rsid w:val="007A3EAB"/>
    <w:rsid w:val="007A49BE"/>
    <w:rsid w:val="007A4ABA"/>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0C2F"/>
    <w:rsid w:val="007E2DE4"/>
    <w:rsid w:val="007E4298"/>
    <w:rsid w:val="007E4F4E"/>
    <w:rsid w:val="007E52BE"/>
    <w:rsid w:val="007E74F9"/>
    <w:rsid w:val="007E7715"/>
    <w:rsid w:val="007E7F11"/>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20FB9"/>
    <w:rsid w:val="00821CF3"/>
    <w:rsid w:val="0082382E"/>
    <w:rsid w:val="00823F8C"/>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7CC2"/>
    <w:rsid w:val="00870061"/>
    <w:rsid w:val="008721F6"/>
    <w:rsid w:val="00877A03"/>
    <w:rsid w:val="00881179"/>
    <w:rsid w:val="00884FF2"/>
    <w:rsid w:val="00886114"/>
    <w:rsid w:val="0089046B"/>
    <w:rsid w:val="00891B2A"/>
    <w:rsid w:val="008924F2"/>
    <w:rsid w:val="00892669"/>
    <w:rsid w:val="00892708"/>
    <w:rsid w:val="00893B1A"/>
    <w:rsid w:val="0089450B"/>
    <w:rsid w:val="00894C53"/>
    <w:rsid w:val="00897D20"/>
    <w:rsid w:val="008A19D8"/>
    <w:rsid w:val="008A2A9D"/>
    <w:rsid w:val="008A3EBA"/>
    <w:rsid w:val="008A6F0A"/>
    <w:rsid w:val="008A7593"/>
    <w:rsid w:val="008B06F3"/>
    <w:rsid w:val="008B097F"/>
    <w:rsid w:val="008B0B69"/>
    <w:rsid w:val="008B4926"/>
    <w:rsid w:val="008B4FB8"/>
    <w:rsid w:val="008B553C"/>
    <w:rsid w:val="008C0BDC"/>
    <w:rsid w:val="008C21AE"/>
    <w:rsid w:val="008C29C5"/>
    <w:rsid w:val="008C442A"/>
    <w:rsid w:val="008C4A22"/>
    <w:rsid w:val="008C57C8"/>
    <w:rsid w:val="008C5D9F"/>
    <w:rsid w:val="008D089D"/>
    <w:rsid w:val="008D0ED7"/>
    <w:rsid w:val="008D2BA6"/>
    <w:rsid w:val="008D3E78"/>
    <w:rsid w:val="008D438D"/>
    <w:rsid w:val="008D5E2C"/>
    <w:rsid w:val="008E06F4"/>
    <w:rsid w:val="008E0740"/>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FF8"/>
    <w:rsid w:val="00913F7F"/>
    <w:rsid w:val="00914ED0"/>
    <w:rsid w:val="00916500"/>
    <w:rsid w:val="00916BA8"/>
    <w:rsid w:val="00916F01"/>
    <w:rsid w:val="009209B2"/>
    <w:rsid w:val="009212D0"/>
    <w:rsid w:val="009213D2"/>
    <w:rsid w:val="00922057"/>
    <w:rsid w:val="00925317"/>
    <w:rsid w:val="00926447"/>
    <w:rsid w:val="00927D22"/>
    <w:rsid w:val="00933F97"/>
    <w:rsid w:val="00934A54"/>
    <w:rsid w:val="00935AF3"/>
    <w:rsid w:val="00935C56"/>
    <w:rsid w:val="00937F09"/>
    <w:rsid w:val="00941076"/>
    <w:rsid w:val="00941258"/>
    <w:rsid w:val="009423BD"/>
    <w:rsid w:val="00942D77"/>
    <w:rsid w:val="00943713"/>
    <w:rsid w:val="00943A61"/>
    <w:rsid w:val="00944A0F"/>
    <w:rsid w:val="00950CCF"/>
    <w:rsid w:val="00951816"/>
    <w:rsid w:val="0095243C"/>
    <w:rsid w:val="009529A4"/>
    <w:rsid w:val="00952F9C"/>
    <w:rsid w:val="00955CD9"/>
    <w:rsid w:val="00956D45"/>
    <w:rsid w:val="0096014E"/>
    <w:rsid w:val="009622DA"/>
    <w:rsid w:val="0096357B"/>
    <w:rsid w:val="00963D7A"/>
    <w:rsid w:val="0096474F"/>
    <w:rsid w:val="009656B1"/>
    <w:rsid w:val="0096721A"/>
    <w:rsid w:val="009675EF"/>
    <w:rsid w:val="009704C3"/>
    <w:rsid w:val="009705DC"/>
    <w:rsid w:val="009714EE"/>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643B"/>
    <w:rsid w:val="009B0B87"/>
    <w:rsid w:val="009B145D"/>
    <w:rsid w:val="009B28E4"/>
    <w:rsid w:val="009B361E"/>
    <w:rsid w:val="009B39B8"/>
    <w:rsid w:val="009B4695"/>
    <w:rsid w:val="009B4ABD"/>
    <w:rsid w:val="009B554C"/>
    <w:rsid w:val="009B74D9"/>
    <w:rsid w:val="009C27C0"/>
    <w:rsid w:val="009C4B61"/>
    <w:rsid w:val="009C6E7B"/>
    <w:rsid w:val="009D1152"/>
    <w:rsid w:val="009D27FF"/>
    <w:rsid w:val="009D29FB"/>
    <w:rsid w:val="009D3443"/>
    <w:rsid w:val="009D4110"/>
    <w:rsid w:val="009D6693"/>
    <w:rsid w:val="009D6B67"/>
    <w:rsid w:val="009D6C5A"/>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1D26"/>
    <w:rsid w:val="00A02CEF"/>
    <w:rsid w:val="00A03202"/>
    <w:rsid w:val="00A03420"/>
    <w:rsid w:val="00A037C8"/>
    <w:rsid w:val="00A03DB3"/>
    <w:rsid w:val="00A07BE9"/>
    <w:rsid w:val="00A1051D"/>
    <w:rsid w:val="00A106B5"/>
    <w:rsid w:val="00A122FC"/>
    <w:rsid w:val="00A12F35"/>
    <w:rsid w:val="00A1701C"/>
    <w:rsid w:val="00A17A82"/>
    <w:rsid w:val="00A205D8"/>
    <w:rsid w:val="00A21300"/>
    <w:rsid w:val="00A21BF9"/>
    <w:rsid w:val="00A22A69"/>
    <w:rsid w:val="00A23FA0"/>
    <w:rsid w:val="00A24574"/>
    <w:rsid w:val="00A245B1"/>
    <w:rsid w:val="00A258A6"/>
    <w:rsid w:val="00A2657B"/>
    <w:rsid w:val="00A26AA3"/>
    <w:rsid w:val="00A32681"/>
    <w:rsid w:val="00A32A8E"/>
    <w:rsid w:val="00A355C2"/>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64F19"/>
    <w:rsid w:val="00A67131"/>
    <w:rsid w:val="00A71467"/>
    <w:rsid w:val="00A716BB"/>
    <w:rsid w:val="00A71D80"/>
    <w:rsid w:val="00A7340F"/>
    <w:rsid w:val="00A773FD"/>
    <w:rsid w:val="00A77B47"/>
    <w:rsid w:val="00A80557"/>
    <w:rsid w:val="00A8078C"/>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B0803"/>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286A"/>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DAA"/>
    <w:rsid w:val="00B50F9A"/>
    <w:rsid w:val="00B521EA"/>
    <w:rsid w:val="00B531BD"/>
    <w:rsid w:val="00B55484"/>
    <w:rsid w:val="00B5548F"/>
    <w:rsid w:val="00B55913"/>
    <w:rsid w:val="00B56375"/>
    <w:rsid w:val="00B5647A"/>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85BA1"/>
    <w:rsid w:val="00B8772E"/>
    <w:rsid w:val="00B92CA7"/>
    <w:rsid w:val="00B934C5"/>
    <w:rsid w:val="00B93E3A"/>
    <w:rsid w:val="00B94B83"/>
    <w:rsid w:val="00B94CC4"/>
    <w:rsid w:val="00B954D3"/>
    <w:rsid w:val="00B969DF"/>
    <w:rsid w:val="00B96B4B"/>
    <w:rsid w:val="00BA2CDB"/>
    <w:rsid w:val="00BA4AE5"/>
    <w:rsid w:val="00BA63F5"/>
    <w:rsid w:val="00BB10C7"/>
    <w:rsid w:val="00BB4C30"/>
    <w:rsid w:val="00BB7356"/>
    <w:rsid w:val="00BC1EAA"/>
    <w:rsid w:val="00BC5E46"/>
    <w:rsid w:val="00BC6CF7"/>
    <w:rsid w:val="00BD0192"/>
    <w:rsid w:val="00BD1697"/>
    <w:rsid w:val="00BD3527"/>
    <w:rsid w:val="00BD38F5"/>
    <w:rsid w:val="00BD49CD"/>
    <w:rsid w:val="00BD4B92"/>
    <w:rsid w:val="00BD54AA"/>
    <w:rsid w:val="00BD579F"/>
    <w:rsid w:val="00BD6F47"/>
    <w:rsid w:val="00BD7160"/>
    <w:rsid w:val="00BD72DD"/>
    <w:rsid w:val="00BE32CF"/>
    <w:rsid w:val="00BE3752"/>
    <w:rsid w:val="00BE3A57"/>
    <w:rsid w:val="00BE4D3D"/>
    <w:rsid w:val="00BE63DB"/>
    <w:rsid w:val="00BE6E65"/>
    <w:rsid w:val="00BE7A2A"/>
    <w:rsid w:val="00BF09B0"/>
    <w:rsid w:val="00BF0AA5"/>
    <w:rsid w:val="00BF228D"/>
    <w:rsid w:val="00BF3905"/>
    <w:rsid w:val="00BF4291"/>
    <w:rsid w:val="00BF4A10"/>
    <w:rsid w:val="00BF7D24"/>
    <w:rsid w:val="00C0009A"/>
    <w:rsid w:val="00C01032"/>
    <w:rsid w:val="00C019A1"/>
    <w:rsid w:val="00C06316"/>
    <w:rsid w:val="00C06956"/>
    <w:rsid w:val="00C11A59"/>
    <w:rsid w:val="00C124A3"/>
    <w:rsid w:val="00C12F6D"/>
    <w:rsid w:val="00C13118"/>
    <w:rsid w:val="00C1474F"/>
    <w:rsid w:val="00C1629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505D9"/>
    <w:rsid w:val="00C525D2"/>
    <w:rsid w:val="00C53258"/>
    <w:rsid w:val="00C56FD2"/>
    <w:rsid w:val="00C607B1"/>
    <w:rsid w:val="00C60801"/>
    <w:rsid w:val="00C6091E"/>
    <w:rsid w:val="00C6243F"/>
    <w:rsid w:val="00C70094"/>
    <w:rsid w:val="00C70EC3"/>
    <w:rsid w:val="00C7153A"/>
    <w:rsid w:val="00C72FEB"/>
    <w:rsid w:val="00C73A45"/>
    <w:rsid w:val="00C75490"/>
    <w:rsid w:val="00C76A3C"/>
    <w:rsid w:val="00C8021F"/>
    <w:rsid w:val="00C82376"/>
    <w:rsid w:val="00C828CC"/>
    <w:rsid w:val="00C85421"/>
    <w:rsid w:val="00C855C5"/>
    <w:rsid w:val="00C87BA5"/>
    <w:rsid w:val="00C90E07"/>
    <w:rsid w:val="00C918FD"/>
    <w:rsid w:val="00C9225B"/>
    <w:rsid w:val="00C9244E"/>
    <w:rsid w:val="00C954BC"/>
    <w:rsid w:val="00C967AD"/>
    <w:rsid w:val="00C96991"/>
    <w:rsid w:val="00C97DFD"/>
    <w:rsid w:val="00CA0D65"/>
    <w:rsid w:val="00CA134F"/>
    <w:rsid w:val="00CA1492"/>
    <w:rsid w:val="00CA23FE"/>
    <w:rsid w:val="00CA2ADA"/>
    <w:rsid w:val="00CA32AA"/>
    <w:rsid w:val="00CA3D33"/>
    <w:rsid w:val="00CA4143"/>
    <w:rsid w:val="00CB0454"/>
    <w:rsid w:val="00CB0F03"/>
    <w:rsid w:val="00CB16BA"/>
    <w:rsid w:val="00CB22EC"/>
    <w:rsid w:val="00CB2D31"/>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56FA"/>
    <w:rsid w:val="00CE6A85"/>
    <w:rsid w:val="00CE7BBE"/>
    <w:rsid w:val="00CF0760"/>
    <w:rsid w:val="00CF1931"/>
    <w:rsid w:val="00CF1C1F"/>
    <w:rsid w:val="00CF31D4"/>
    <w:rsid w:val="00CF4B43"/>
    <w:rsid w:val="00D003D2"/>
    <w:rsid w:val="00D00E35"/>
    <w:rsid w:val="00D013DA"/>
    <w:rsid w:val="00D03CB0"/>
    <w:rsid w:val="00D04A76"/>
    <w:rsid w:val="00D05F8F"/>
    <w:rsid w:val="00D07746"/>
    <w:rsid w:val="00D106FD"/>
    <w:rsid w:val="00D112F5"/>
    <w:rsid w:val="00D129C5"/>
    <w:rsid w:val="00D13143"/>
    <w:rsid w:val="00D13562"/>
    <w:rsid w:val="00D16F84"/>
    <w:rsid w:val="00D17A8A"/>
    <w:rsid w:val="00D22018"/>
    <w:rsid w:val="00D2257B"/>
    <w:rsid w:val="00D2293D"/>
    <w:rsid w:val="00D22A15"/>
    <w:rsid w:val="00D22C4A"/>
    <w:rsid w:val="00D2319E"/>
    <w:rsid w:val="00D24CB6"/>
    <w:rsid w:val="00D279E6"/>
    <w:rsid w:val="00D27C98"/>
    <w:rsid w:val="00D30031"/>
    <w:rsid w:val="00D3586B"/>
    <w:rsid w:val="00D37C33"/>
    <w:rsid w:val="00D37DFF"/>
    <w:rsid w:val="00D41597"/>
    <w:rsid w:val="00D43387"/>
    <w:rsid w:val="00D440B4"/>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70117"/>
    <w:rsid w:val="00D703C8"/>
    <w:rsid w:val="00D70BE1"/>
    <w:rsid w:val="00D710BB"/>
    <w:rsid w:val="00D72543"/>
    <w:rsid w:val="00D74CC1"/>
    <w:rsid w:val="00D754B6"/>
    <w:rsid w:val="00D754B9"/>
    <w:rsid w:val="00D7553F"/>
    <w:rsid w:val="00D77BDD"/>
    <w:rsid w:val="00D81A98"/>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F83"/>
    <w:rsid w:val="00DA709E"/>
    <w:rsid w:val="00DA7EFF"/>
    <w:rsid w:val="00DB0898"/>
    <w:rsid w:val="00DB1241"/>
    <w:rsid w:val="00DB1673"/>
    <w:rsid w:val="00DB3B2C"/>
    <w:rsid w:val="00DC1270"/>
    <w:rsid w:val="00DC2A80"/>
    <w:rsid w:val="00DC37AB"/>
    <w:rsid w:val="00DC39D5"/>
    <w:rsid w:val="00DC51ED"/>
    <w:rsid w:val="00DC6056"/>
    <w:rsid w:val="00DC6915"/>
    <w:rsid w:val="00DC6A91"/>
    <w:rsid w:val="00DC6AE0"/>
    <w:rsid w:val="00DD1C47"/>
    <w:rsid w:val="00DD2E34"/>
    <w:rsid w:val="00DD2FA7"/>
    <w:rsid w:val="00DD352A"/>
    <w:rsid w:val="00DD7A45"/>
    <w:rsid w:val="00DE2EBB"/>
    <w:rsid w:val="00DE3762"/>
    <w:rsid w:val="00DE3D6B"/>
    <w:rsid w:val="00DE43E6"/>
    <w:rsid w:val="00DE5067"/>
    <w:rsid w:val="00DF09A3"/>
    <w:rsid w:val="00DF2634"/>
    <w:rsid w:val="00DF2BAE"/>
    <w:rsid w:val="00DF63B7"/>
    <w:rsid w:val="00DF7288"/>
    <w:rsid w:val="00E00D92"/>
    <w:rsid w:val="00E0116C"/>
    <w:rsid w:val="00E02EF1"/>
    <w:rsid w:val="00E0333A"/>
    <w:rsid w:val="00E052D4"/>
    <w:rsid w:val="00E079B1"/>
    <w:rsid w:val="00E106DD"/>
    <w:rsid w:val="00E13C95"/>
    <w:rsid w:val="00E152CB"/>
    <w:rsid w:val="00E16BBE"/>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6292"/>
    <w:rsid w:val="00E47194"/>
    <w:rsid w:val="00E50AEE"/>
    <w:rsid w:val="00E52C06"/>
    <w:rsid w:val="00E5319B"/>
    <w:rsid w:val="00E53610"/>
    <w:rsid w:val="00E57090"/>
    <w:rsid w:val="00E57669"/>
    <w:rsid w:val="00E577D1"/>
    <w:rsid w:val="00E618C2"/>
    <w:rsid w:val="00E627F1"/>
    <w:rsid w:val="00E62A86"/>
    <w:rsid w:val="00E63672"/>
    <w:rsid w:val="00E64038"/>
    <w:rsid w:val="00E64207"/>
    <w:rsid w:val="00E664CD"/>
    <w:rsid w:val="00E70C12"/>
    <w:rsid w:val="00E76009"/>
    <w:rsid w:val="00E76F83"/>
    <w:rsid w:val="00E77752"/>
    <w:rsid w:val="00E80B27"/>
    <w:rsid w:val="00E81001"/>
    <w:rsid w:val="00E823CA"/>
    <w:rsid w:val="00E82FAE"/>
    <w:rsid w:val="00E83474"/>
    <w:rsid w:val="00E85474"/>
    <w:rsid w:val="00E8564E"/>
    <w:rsid w:val="00E86BE4"/>
    <w:rsid w:val="00E90BF1"/>
    <w:rsid w:val="00E93BF7"/>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E3E"/>
    <w:rsid w:val="00EC1368"/>
    <w:rsid w:val="00EC17DD"/>
    <w:rsid w:val="00EC1C94"/>
    <w:rsid w:val="00EC2ABC"/>
    <w:rsid w:val="00ED1BBB"/>
    <w:rsid w:val="00ED21E6"/>
    <w:rsid w:val="00ED2363"/>
    <w:rsid w:val="00ED354A"/>
    <w:rsid w:val="00ED6680"/>
    <w:rsid w:val="00EE015E"/>
    <w:rsid w:val="00EE0B0B"/>
    <w:rsid w:val="00EE35E8"/>
    <w:rsid w:val="00EE3A2A"/>
    <w:rsid w:val="00EE40A3"/>
    <w:rsid w:val="00EE4F06"/>
    <w:rsid w:val="00EF2A2D"/>
    <w:rsid w:val="00EF66AF"/>
    <w:rsid w:val="00EF7EE8"/>
    <w:rsid w:val="00F014D0"/>
    <w:rsid w:val="00F01CD7"/>
    <w:rsid w:val="00F01D12"/>
    <w:rsid w:val="00F01F73"/>
    <w:rsid w:val="00F031C7"/>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321C"/>
    <w:rsid w:val="00F33321"/>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DA6"/>
    <w:rsid w:val="00F559BF"/>
    <w:rsid w:val="00F56AF3"/>
    <w:rsid w:val="00F61497"/>
    <w:rsid w:val="00F61C64"/>
    <w:rsid w:val="00F6275D"/>
    <w:rsid w:val="00F63C38"/>
    <w:rsid w:val="00F64965"/>
    <w:rsid w:val="00F65288"/>
    <w:rsid w:val="00F6568A"/>
    <w:rsid w:val="00F663FE"/>
    <w:rsid w:val="00F66EC2"/>
    <w:rsid w:val="00F70711"/>
    <w:rsid w:val="00F70B8B"/>
    <w:rsid w:val="00F720D1"/>
    <w:rsid w:val="00F729A9"/>
    <w:rsid w:val="00F7352A"/>
    <w:rsid w:val="00F73BF4"/>
    <w:rsid w:val="00F74606"/>
    <w:rsid w:val="00F75AD9"/>
    <w:rsid w:val="00F75EA5"/>
    <w:rsid w:val="00F76754"/>
    <w:rsid w:val="00F77130"/>
    <w:rsid w:val="00F8064F"/>
    <w:rsid w:val="00F834FA"/>
    <w:rsid w:val="00F8430E"/>
    <w:rsid w:val="00F9038B"/>
    <w:rsid w:val="00F90E75"/>
    <w:rsid w:val="00F9294A"/>
    <w:rsid w:val="00F94256"/>
    <w:rsid w:val="00F94905"/>
    <w:rsid w:val="00F951A9"/>
    <w:rsid w:val="00F95B88"/>
    <w:rsid w:val="00F96B69"/>
    <w:rsid w:val="00FA0B24"/>
    <w:rsid w:val="00FA1197"/>
    <w:rsid w:val="00FA3A5D"/>
    <w:rsid w:val="00FA4903"/>
    <w:rsid w:val="00FA5192"/>
    <w:rsid w:val="00FA57CD"/>
    <w:rsid w:val="00FA6256"/>
    <w:rsid w:val="00FA756B"/>
    <w:rsid w:val="00FB3F06"/>
    <w:rsid w:val="00FB4260"/>
    <w:rsid w:val="00FB4804"/>
    <w:rsid w:val="00FB54A9"/>
    <w:rsid w:val="00FC1E55"/>
    <w:rsid w:val="00FC36C8"/>
    <w:rsid w:val="00FC4C4C"/>
    <w:rsid w:val="00FC6317"/>
    <w:rsid w:val="00FC6750"/>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8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2516</Words>
  <Characters>13840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8</cp:revision>
  <cp:lastPrinted>2020-07-14T14:33:00Z</cp:lastPrinted>
  <dcterms:created xsi:type="dcterms:W3CDTF">2020-08-10T14:36:00Z</dcterms:created>
  <dcterms:modified xsi:type="dcterms:W3CDTF">2020-08-12T14:22:00Z</dcterms:modified>
</cp:coreProperties>
</file>