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C446A" w14:textId="57A31F9A" w:rsidR="00170F58" w:rsidRPr="00110288" w:rsidRDefault="00613D08" w:rsidP="00CF3870">
      <w:pPr>
        <w:spacing w:line="480" w:lineRule="auto"/>
        <w:ind w:right="-234"/>
        <w:jc w:val="both"/>
        <w:rPr>
          <w:rFonts w:ascii="Lato" w:hAnsi="Lato" w:cs="Calibri"/>
          <w:b/>
        </w:rPr>
      </w:pPr>
      <w:bookmarkStart w:id="0" w:name="_Hlk93306768"/>
      <w:bookmarkStart w:id="1" w:name="_Hlk31799003"/>
      <w:bookmarkStart w:id="2" w:name="_Hlk89781194"/>
      <w:r w:rsidRPr="00110288">
        <w:rPr>
          <w:rFonts w:ascii="Lato" w:hAnsi="Lato"/>
          <w:b/>
        </w:rPr>
        <w:t xml:space="preserve">ACTA DE SESIÓN EXTRAORDINARIA PRIVADA DEL CONSEJO DE LA JUDICATURA DEL ESTADO DE TLAXCALA, CELEBRADA A LAS </w:t>
      </w:r>
      <w:r w:rsidR="0045005A" w:rsidRPr="00110288">
        <w:rPr>
          <w:rFonts w:ascii="Lato" w:hAnsi="Lato" w:cstheme="minorHAnsi"/>
          <w:b/>
        </w:rPr>
        <w:t>NUEVE</w:t>
      </w:r>
      <w:r w:rsidR="00E10315" w:rsidRPr="00110288">
        <w:rPr>
          <w:rFonts w:ascii="Lato" w:hAnsi="Lato" w:cstheme="minorHAnsi"/>
          <w:b/>
        </w:rPr>
        <w:t xml:space="preserve"> HORAS </w:t>
      </w:r>
      <w:r w:rsidR="00E55A9E" w:rsidRPr="00110288">
        <w:rPr>
          <w:rFonts w:ascii="Lato" w:hAnsi="Lato" w:cstheme="minorHAnsi"/>
          <w:b/>
        </w:rPr>
        <w:t>DEL</w:t>
      </w:r>
      <w:r w:rsidR="00E10315" w:rsidRPr="00110288">
        <w:rPr>
          <w:rFonts w:ascii="Lato" w:hAnsi="Lato" w:cstheme="minorHAnsi"/>
          <w:b/>
        </w:rPr>
        <w:t xml:space="preserve"> </w:t>
      </w:r>
      <w:r w:rsidR="0045005A" w:rsidRPr="00110288">
        <w:rPr>
          <w:rFonts w:ascii="Lato" w:hAnsi="Lato" w:cstheme="minorHAnsi"/>
          <w:b/>
        </w:rPr>
        <w:t>VEINTICUATRO</w:t>
      </w:r>
      <w:r w:rsidR="00BF6B12" w:rsidRPr="00110288">
        <w:rPr>
          <w:rFonts w:ascii="Lato" w:hAnsi="Lato" w:cstheme="minorHAnsi"/>
          <w:b/>
        </w:rPr>
        <w:t xml:space="preserve"> DE </w:t>
      </w:r>
      <w:r w:rsidR="00A333AC" w:rsidRPr="00110288">
        <w:rPr>
          <w:rFonts w:ascii="Lato" w:hAnsi="Lato" w:cstheme="minorHAnsi"/>
          <w:b/>
        </w:rPr>
        <w:t>ENERO</w:t>
      </w:r>
      <w:r w:rsidR="008167E9" w:rsidRPr="00110288">
        <w:rPr>
          <w:rFonts w:ascii="Lato" w:hAnsi="Lato" w:cstheme="minorHAnsi"/>
          <w:b/>
        </w:rPr>
        <w:t xml:space="preserve"> D</w:t>
      </w:r>
      <w:r w:rsidR="00E55A9E" w:rsidRPr="00110288">
        <w:rPr>
          <w:rFonts w:ascii="Lato" w:hAnsi="Lato" w:cstheme="minorHAnsi"/>
          <w:b/>
        </w:rPr>
        <w:t xml:space="preserve">E DOS MIL </w:t>
      </w:r>
      <w:r w:rsidR="00A333AC" w:rsidRPr="00110288">
        <w:rPr>
          <w:rFonts w:ascii="Lato" w:hAnsi="Lato" w:cstheme="minorHAnsi"/>
          <w:b/>
        </w:rPr>
        <w:t>VEINTICINCO</w:t>
      </w:r>
      <w:r w:rsidR="00170F58" w:rsidRPr="00110288">
        <w:rPr>
          <w:rFonts w:ascii="Lato" w:hAnsi="Lato" w:cstheme="minorHAnsi"/>
          <w:b/>
        </w:rPr>
        <w:t xml:space="preserve">, </w:t>
      </w:r>
      <w:bookmarkStart w:id="3" w:name="_Hlk54605153"/>
      <w:bookmarkEnd w:id="0"/>
      <w:r w:rsidR="00170F58" w:rsidRPr="00110288">
        <w:rPr>
          <w:rFonts w:ascii="Lato" w:hAnsi="Lato" w:cstheme="minorHAnsi"/>
          <w:b/>
        </w:rPr>
        <w:t>EN LA PRESIDENCIA DEL TRIBUNAL SUPERIOR DE JUSTICIA DEL ESTADO, CON SEDE EN CIUDAD JUDICIAL, SANTA ANITA HUILOAC, APIZACO,</w:t>
      </w:r>
      <w:r w:rsidR="002A33A0" w:rsidRPr="00110288">
        <w:rPr>
          <w:rFonts w:ascii="Lato" w:hAnsi="Lato" w:cstheme="minorHAnsi"/>
          <w:b/>
        </w:rPr>
        <w:t xml:space="preserve"> TLAXCALA,</w:t>
      </w:r>
      <w:r w:rsidR="00170F58" w:rsidRPr="00110288">
        <w:rPr>
          <w:rFonts w:ascii="Lato" w:hAnsi="Lato" w:cstheme="minorHAnsi"/>
          <w:b/>
        </w:rPr>
        <w:t xml:space="preserve"> </w:t>
      </w:r>
      <w:bookmarkEnd w:id="1"/>
      <w:bookmarkEnd w:id="2"/>
      <w:bookmarkEnd w:id="3"/>
      <w:r w:rsidRPr="00110288">
        <w:rPr>
          <w:rFonts w:ascii="Lato" w:hAnsi="Lato" w:cs="Calibri"/>
          <w:b/>
        </w:rPr>
        <w:t xml:space="preserve">BAJO EL SIGUIENTE: </w:t>
      </w:r>
    </w:p>
    <w:p w14:paraId="4B056CC3" w14:textId="77777777" w:rsidR="00613D08" w:rsidRPr="00110288" w:rsidRDefault="00613D08" w:rsidP="00CF3870">
      <w:pPr>
        <w:tabs>
          <w:tab w:val="left" w:pos="5387"/>
        </w:tabs>
        <w:ind w:right="-234"/>
        <w:jc w:val="center"/>
        <w:rPr>
          <w:rFonts w:ascii="Lato" w:hAnsi="Lato" w:cstheme="minorHAnsi"/>
          <w:b/>
          <w:bCs/>
          <w:bdr w:val="none" w:sz="0" w:space="0" w:color="auto" w:frame="1"/>
        </w:rPr>
      </w:pPr>
      <w:r w:rsidRPr="00110288">
        <w:rPr>
          <w:rFonts w:ascii="Lato" w:hAnsi="Lato" w:cstheme="minorHAnsi"/>
          <w:b/>
          <w:bCs/>
          <w:bdr w:val="none" w:sz="0" w:space="0" w:color="auto" w:frame="1"/>
        </w:rPr>
        <w:t>ORDEN DEL DÍA</w:t>
      </w:r>
    </w:p>
    <w:p w14:paraId="2A2A47DD" w14:textId="160BA34F" w:rsidR="00613D08" w:rsidRPr="00110288" w:rsidRDefault="00613D08" w:rsidP="00CF3870">
      <w:pPr>
        <w:pStyle w:val="Prrafodelista"/>
        <w:numPr>
          <w:ilvl w:val="0"/>
          <w:numId w:val="59"/>
        </w:numPr>
        <w:tabs>
          <w:tab w:val="left" w:pos="5387"/>
        </w:tabs>
        <w:spacing w:after="0" w:line="480" w:lineRule="auto"/>
        <w:ind w:left="567" w:right="-234" w:hanging="215"/>
        <w:jc w:val="both"/>
        <w:rPr>
          <w:rFonts w:ascii="Lato" w:hAnsi="Lato" w:cstheme="minorHAnsi"/>
          <w:bdr w:val="none" w:sz="0" w:space="0" w:color="auto" w:frame="1"/>
        </w:rPr>
      </w:pPr>
      <w:r w:rsidRPr="00110288">
        <w:rPr>
          <w:rFonts w:ascii="Lato" w:hAnsi="Lato" w:cstheme="minorHAnsi"/>
          <w:bdr w:val="none" w:sz="0" w:space="0" w:color="auto" w:frame="1"/>
        </w:rPr>
        <w:t>Verificación del quorum.</w:t>
      </w:r>
      <w:r w:rsidR="00F94A22" w:rsidRPr="00110288">
        <w:rPr>
          <w:rFonts w:ascii="Lato" w:hAnsi="Lato" w:cstheme="minorHAnsi"/>
          <w:bdr w:val="none" w:sz="0" w:space="0" w:color="auto" w:frame="1"/>
        </w:rPr>
        <w:t xml:space="preserve"> - - - - - - - - - - - - - - - - - - - - - - - - - - - - - - - - - - - -</w:t>
      </w:r>
    </w:p>
    <w:p w14:paraId="3313A6A7" w14:textId="6A245F39" w:rsidR="00613D08" w:rsidRPr="00110288" w:rsidRDefault="00613D08" w:rsidP="00CF3870">
      <w:pPr>
        <w:pStyle w:val="Prrafodelista"/>
        <w:numPr>
          <w:ilvl w:val="0"/>
          <w:numId w:val="59"/>
        </w:numPr>
        <w:tabs>
          <w:tab w:val="left" w:pos="5387"/>
        </w:tabs>
        <w:spacing w:after="0" w:line="480" w:lineRule="auto"/>
        <w:ind w:left="567" w:right="-234" w:hanging="215"/>
        <w:jc w:val="both"/>
        <w:rPr>
          <w:rFonts w:ascii="Lato" w:hAnsi="Lato" w:cstheme="minorHAnsi"/>
          <w:bdr w:val="none" w:sz="0" w:space="0" w:color="auto" w:frame="1"/>
        </w:rPr>
      </w:pPr>
      <w:r w:rsidRPr="00110288">
        <w:rPr>
          <w:rFonts w:ascii="Lato" w:hAnsi="Lato" w:cstheme="minorHAnsi"/>
          <w:bdr w:val="none" w:sz="0" w:space="0" w:color="auto" w:frame="1"/>
        </w:rPr>
        <w:t>Análisis, discusión y determinación del oficio número TES/024/2025, recibido el veintidós de enero de dos mil veinticinco, signado por el Tesorero del Poder Judicial del Estado.</w:t>
      </w:r>
      <w:r w:rsidR="00F94A22" w:rsidRPr="00110288">
        <w:rPr>
          <w:rFonts w:ascii="Lato" w:hAnsi="Lato" w:cstheme="minorHAnsi"/>
          <w:bdr w:val="none" w:sz="0" w:space="0" w:color="auto" w:frame="1"/>
        </w:rPr>
        <w:t xml:space="preserve"> - - - - - - - - - - - - - - - - - - - - - - - - - - - - - - - - -</w:t>
      </w:r>
    </w:p>
    <w:p w14:paraId="13ED2572" w14:textId="0030E7FF" w:rsidR="00613D08" w:rsidRPr="00110288" w:rsidRDefault="00613D08" w:rsidP="00CF3870">
      <w:pPr>
        <w:pStyle w:val="Prrafodelista"/>
        <w:numPr>
          <w:ilvl w:val="0"/>
          <w:numId w:val="59"/>
        </w:numPr>
        <w:tabs>
          <w:tab w:val="left" w:pos="5387"/>
        </w:tabs>
        <w:spacing w:after="0" w:line="480" w:lineRule="auto"/>
        <w:ind w:left="567" w:right="-234" w:hanging="215"/>
        <w:jc w:val="both"/>
        <w:rPr>
          <w:rFonts w:ascii="Lato" w:hAnsi="Lato" w:cstheme="minorHAnsi"/>
          <w:bdr w:val="none" w:sz="0" w:space="0" w:color="auto" w:frame="1"/>
        </w:rPr>
      </w:pPr>
      <w:r w:rsidRPr="00110288">
        <w:rPr>
          <w:rFonts w:ascii="Lato" w:hAnsi="Lato" w:cstheme="minorHAnsi"/>
          <w:bdr w:val="none" w:sz="0" w:space="0" w:color="auto" w:frame="1"/>
        </w:rPr>
        <w:t>Análisis, discusión y determinación del oficio número TES/025/2025, recibido el veintidós de enero de dos mil veinticinco, signado por el Tesorero del Poder Judicial del Estado.</w:t>
      </w:r>
      <w:r w:rsidR="00F94A22" w:rsidRPr="00110288">
        <w:rPr>
          <w:rFonts w:ascii="Lato" w:hAnsi="Lato" w:cstheme="minorHAnsi"/>
          <w:bdr w:val="none" w:sz="0" w:space="0" w:color="auto" w:frame="1"/>
        </w:rPr>
        <w:t xml:space="preserve"> - - - - - - - - - - - - - - - - - - - - - - - - - - - - - - - - - </w:t>
      </w:r>
    </w:p>
    <w:p w14:paraId="0BC2328D" w14:textId="22EF472E" w:rsidR="00613D08" w:rsidRPr="00110288" w:rsidRDefault="00613D08" w:rsidP="00CF3870">
      <w:pPr>
        <w:pStyle w:val="Prrafodelista"/>
        <w:numPr>
          <w:ilvl w:val="0"/>
          <w:numId w:val="59"/>
        </w:numPr>
        <w:tabs>
          <w:tab w:val="left" w:pos="5387"/>
        </w:tabs>
        <w:spacing w:after="0" w:line="480" w:lineRule="auto"/>
        <w:ind w:left="567" w:right="-234" w:hanging="215"/>
        <w:jc w:val="both"/>
        <w:rPr>
          <w:rFonts w:ascii="Lato" w:hAnsi="Lato" w:cstheme="minorHAnsi"/>
          <w:bdr w:val="none" w:sz="0" w:space="0" w:color="auto" w:frame="1"/>
        </w:rPr>
      </w:pPr>
      <w:r w:rsidRPr="00110288">
        <w:rPr>
          <w:rFonts w:ascii="Lato" w:hAnsi="Lato" w:cstheme="minorHAnsi"/>
          <w:bdr w:val="none" w:sz="0" w:space="0" w:color="auto" w:frame="1"/>
        </w:rPr>
        <w:t>Análisis, discusión y determinación del oficio número TES/028/2025, recibido el veintidós de enero de dos mil veinticinco, signado por el Tesorero del Poder Judicial del Estado.</w:t>
      </w:r>
      <w:r w:rsidR="00F94A22" w:rsidRPr="00110288">
        <w:rPr>
          <w:rFonts w:ascii="Lato" w:hAnsi="Lato" w:cstheme="minorHAnsi"/>
          <w:bdr w:val="none" w:sz="0" w:space="0" w:color="auto" w:frame="1"/>
        </w:rPr>
        <w:t xml:space="preserve"> - - - - - - - - - - - - - - - - - - - - - - - - - - - - - - - - -</w:t>
      </w:r>
    </w:p>
    <w:p w14:paraId="3419FE2D" w14:textId="656BD0C2" w:rsidR="00613D08" w:rsidRPr="00110288" w:rsidRDefault="00613D08" w:rsidP="00CF3870">
      <w:pPr>
        <w:pStyle w:val="Prrafodelista"/>
        <w:numPr>
          <w:ilvl w:val="0"/>
          <w:numId w:val="59"/>
        </w:numPr>
        <w:tabs>
          <w:tab w:val="left" w:pos="5387"/>
        </w:tabs>
        <w:spacing w:after="0" w:line="480" w:lineRule="auto"/>
        <w:ind w:left="567" w:right="-234" w:hanging="215"/>
        <w:jc w:val="both"/>
        <w:rPr>
          <w:rFonts w:ascii="Lato" w:hAnsi="Lato" w:cstheme="minorHAnsi"/>
          <w:bdr w:val="none" w:sz="0" w:space="0" w:color="auto" w:frame="1"/>
        </w:rPr>
      </w:pPr>
      <w:r w:rsidRPr="00110288">
        <w:rPr>
          <w:rFonts w:ascii="Lato" w:hAnsi="Lato" w:cstheme="minorHAnsi"/>
          <w:bdr w:val="none" w:sz="0" w:space="0" w:color="auto" w:frame="1"/>
        </w:rPr>
        <w:t>Análisis, discusión y determinación del oficio número TES/038/2025, recibido el veintitrés de enero de dos mil veinticinco, signado por el Tesorero del Poder Judicial del Estado.</w:t>
      </w:r>
      <w:r w:rsidR="00F94A22" w:rsidRPr="00110288">
        <w:rPr>
          <w:rFonts w:ascii="Lato" w:hAnsi="Lato" w:cstheme="minorHAnsi"/>
          <w:bdr w:val="none" w:sz="0" w:space="0" w:color="auto" w:frame="1"/>
        </w:rPr>
        <w:t xml:space="preserve"> - - - - - - - - - - - - - - - - - - - - - - - - - - - - - - - - -</w:t>
      </w:r>
    </w:p>
    <w:p w14:paraId="6438CB9A" w14:textId="6CF01E48" w:rsidR="00613D08" w:rsidRPr="00110288" w:rsidRDefault="00613D08" w:rsidP="00CF3870">
      <w:pPr>
        <w:pStyle w:val="Prrafodelista"/>
        <w:numPr>
          <w:ilvl w:val="0"/>
          <w:numId w:val="59"/>
        </w:numPr>
        <w:tabs>
          <w:tab w:val="left" w:pos="5387"/>
        </w:tabs>
        <w:spacing w:after="0" w:line="480" w:lineRule="auto"/>
        <w:ind w:left="567" w:right="-234" w:hanging="215"/>
        <w:jc w:val="both"/>
        <w:rPr>
          <w:rFonts w:ascii="Lato" w:hAnsi="Lato" w:cstheme="minorHAnsi"/>
          <w:bdr w:val="none" w:sz="0" w:space="0" w:color="auto" w:frame="1"/>
        </w:rPr>
      </w:pPr>
      <w:r w:rsidRPr="00110288">
        <w:rPr>
          <w:rFonts w:ascii="Lato" w:hAnsi="Lato" w:cstheme="minorHAnsi"/>
          <w:bdr w:val="none" w:sz="0" w:space="0" w:color="auto" w:frame="1"/>
        </w:rPr>
        <w:t xml:space="preserve">Análisis, discusión y determinación del oficio número PTSJ/067/2025, recibido el veintitrés de enero de dos mil veinticinco, signado por la Magistrada </w:t>
      </w:r>
      <w:proofErr w:type="gramStart"/>
      <w:r w:rsidRPr="00110288">
        <w:rPr>
          <w:rFonts w:ascii="Lato" w:hAnsi="Lato" w:cstheme="minorHAnsi"/>
          <w:bdr w:val="none" w:sz="0" w:space="0" w:color="auto" w:frame="1"/>
        </w:rPr>
        <w:t>Presidenta</w:t>
      </w:r>
      <w:proofErr w:type="gramEnd"/>
      <w:r w:rsidRPr="00110288">
        <w:rPr>
          <w:rFonts w:ascii="Lato" w:hAnsi="Lato" w:cstheme="minorHAnsi"/>
          <w:bdr w:val="none" w:sz="0" w:space="0" w:color="auto" w:frame="1"/>
        </w:rPr>
        <w:t xml:space="preserve"> del Tribunal Superior de Justicia y del Consejo de la Judicatura del Estado</w:t>
      </w:r>
      <w:r w:rsidR="00F94A22" w:rsidRPr="00110288">
        <w:rPr>
          <w:rFonts w:ascii="Lato" w:hAnsi="Lato" w:cstheme="minorHAnsi"/>
          <w:bdr w:val="none" w:sz="0" w:space="0" w:color="auto" w:frame="1"/>
        </w:rPr>
        <w:t>. - - - - - - - - - - - - - - - - - - - - - - - - - - - - - - - - - - - - - -</w:t>
      </w:r>
    </w:p>
    <w:p w14:paraId="2AFA7994" w14:textId="77777777" w:rsidR="00613D08" w:rsidRPr="00110288" w:rsidRDefault="00613D08" w:rsidP="00CF3870">
      <w:pPr>
        <w:spacing w:line="480" w:lineRule="auto"/>
        <w:ind w:right="-234"/>
        <w:jc w:val="both"/>
        <w:rPr>
          <w:rFonts w:ascii="Lato" w:hAnsi="Lato" w:cs="Calibri"/>
          <w:b/>
        </w:rPr>
      </w:pPr>
    </w:p>
    <w:p w14:paraId="7DDEAB30" w14:textId="050B9B69" w:rsidR="009470F0" w:rsidRPr="00110288" w:rsidRDefault="009470F0" w:rsidP="00CF3870">
      <w:pPr>
        <w:spacing w:line="480" w:lineRule="auto"/>
        <w:ind w:right="-234"/>
        <w:jc w:val="both"/>
        <w:rPr>
          <w:rFonts w:ascii="Lato" w:hAnsi="Lato" w:cstheme="minorHAnsi"/>
        </w:rPr>
      </w:pPr>
      <w:bookmarkStart w:id="4" w:name="_Hlk94531303"/>
      <w:r w:rsidRPr="00110288">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110288" w:rsidRPr="00110288" w14:paraId="53FDB349" w14:textId="77777777" w:rsidTr="00545540">
        <w:tc>
          <w:tcPr>
            <w:tcW w:w="6096" w:type="dxa"/>
            <w:hideMark/>
          </w:tcPr>
          <w:p w14:paraId="625A4732" w14:textId="2955BA93" w:rsidR="009470F0" w:rsidRPr="00110288" w:rsidRDefault="009470F0" w:rsidP="00110288">
            <w:pPr>
              <w:tabs>
                <w:tab w:val="left" w:pos="5387"/>
              </w:tabs>
              <w:spacing w:line="480" w:lineRule="auto"/>
              <w:ind w:right="36"/>
              <w:jc w:val="both"/>
              <w:rPr>
                <w:rFonts w:ascii="Lato" w:hAnsi="Lato" w:cs="Calibri"/>
                <w:b/>
              </w:rPr>
            </w:pPr>
            <w:r w:rsidRPr="00110288">
              <w:rPr>
                <w:rFonts w:ascii="Lato" w:hAnsi="Lato" w:cs="Calibri"/>
                <w:b/>
              </w:rPr>
              <w:t xml:space="preserve">Magistrada Anel Bañuelos Meneses, </w:t>
            </w:r>
            <w:proofErr w:type="gramStart"/>
            <w:r w:rsidRPr="00110288">
              <w:rPr>
                <w:rFonts w:ascii="Lato" w:hAnsi="Lato" w:cs="Calibri"/>
                <w:b/>
              </w:rPr>
              <w:t>Presidenta</w:t>
            </w:r>
            <w:proofErr w:type="gramEnd"/>
            <w:r w:rsidRPr="00110288">
              <w:rPr>
                <w:rFonts w:ascii="Lato" w:hAnsi="Lato" w:cs="Calibri"/>
                <w:b/>
              </w:rPr>
              <w:t xml:space="preserve"> del Consejo de la Judicatura del Estado de Tlaxcala.  - - - -  - - - - - - - - - - </w:t>
            </w:r>
          </w:p>
        </w:tc>
        <w:tc>
          <w:tcPr>
            <w:tcW w:w="1842" w:type="dxa"/>
            <w:hideMark/>
          </w:tcPr>
          <w:p w14:paraId="3C6A459F" w14:textId="786B4AB0" w:rsidR="009470F0" w:rsidRPr="00110288" w:rsidRDefault="00811873" w:rsidP="00CF3870">
            <w:pPr>
              <w:tabs>
                <w:tab w:val="left" w:pos="5387"/>
              </w:tabs>
              <w:spacing w:after="0" w:line="480" w:lineRule="auto"/>
              <w:ind w:right="-234"/>
              <w:jc w:val="both"/>
              <w:rPr>
                <w:rFonts w:ascii="Lato" w:hAnsi="Lato" w:cs="Calibri"/>
                <w:b/>
              </w:rPr>
            </w:pPr>
            <w:r w:rsidRPr="00110288">
              <w:rPr>
                <w:rFonts w:ascii="Lato" w:hAnsi="Lato" w:cs="Calibri"/>
                <w:b/>
              </w:rPr>
              <w:t xml:space="preserve">- - - - - - - - - - - - </w:t>
            </w:r>
            <w:r w:rsidR="009470F0" w:rsidRPr="00110288">
              <w:rPr>
                <w:rFonts w:ascii="Lato" w:hAnsi="Lato" w:cs="Calibri"/>
                <w:b/>
              </w:rPr>
              <w:t>Presente - - - -</w:t>
            </w:r>
            <w:r w:rsidR="0045005A" w:rsidRPr="00110288">
              <w:rPr>
                <w:rFonts w:ascii="Lato" w:hAnsi="Lato" w:cs="Calibri"/>
                <w:b/>
              </w:rPr>
              <w:t xml:space="preserve"> - </w:t>
            </w:r>
            <w:r w:rsidR="009470F0" w:rsidRPr="00110288">
              <w:rPr>
                <w:rFonts w:ascii="Lato" w:hAnsi="Lato" w:cs="Calibri"/>
                <w:b/>
              </w:rPr>
              <w:t xml:space="preserve"> </w:t>
            </w:r>
          </w:p>
        </w:tc>
      </w:tr>
      <w:tr w:rsidR="00110288" w:rsidRPr="00110288" w14:paraId="15F4F5FE" w14:textId="77777777" w:rsidTr="00545540">
        <w:tc>
          <w:tcPr>
            <w:tcW w:w="6096" w:type="dxa"/>
            <w:hideMark/>
          </w:tcPr>
          <w:p w14:paraId="46D3DF25" w14:textId="58E3726A" w:rsidR="009470F0" w:rsidRPr="00110288" w:rsidRDefault="009413B9" w:rsidP="00110288">
            <w:pPr>
              <w:tabs>
                <w:tab w:val="left" w:pos="5387"/>
              </w:tabs>
              <w:spacing w:line="480" w:lineRule="auto"/>
              <w:ind w:right="36"/>
              <w:jc w:val="both"/>
              <w:rPr>
                <w:rFonts w:ascii="Lato" w:hAnsi="Lato" w:cs="Calibri"/>
                <w:b/>
              </w:rPr>
            </w:pPr>
            <w:r w:rsidRPr="00110288">
              <w:rPr>
                <w:rFonts w:ascii="Lato" w:hAnsi="Lato" w:cs="Calibri"/>
                <w:b/>
              </w:rPr>
              <w:lastRenderedPageBreak/>
              <w:t xml:space="preserve">Maestro </w:t>
            </w:r>
            <w:r w:rsidR="00FB2AF9" w:rsidRPr="00110288">
              <w:rPr>
                <w:rFonts w:ascii="Lato" w:hAnsi="Lato" w:cs="Calibri"/>
                <w:b/>
              </w:rPr>
              <w:t xml:space="preserve">Germán Mendoza </w:t>
            </w:r>
            <w:proofErr w:type="spellStart"/>
            <w:r w:rsidR="00FB2AF9" w:rsidRPr="00110288">
              <w:rPr>
                <w:rFonts w:ascii="Lato" w:hAnsi="Lato" w:cs="Calibri"/>
                <w:b/>
              </w:rPr>
              <w:t>Papalotzi</w:t>
            </w:r>
            <w:proofErr w:type="spellEnd"/>
            <w:r w:rsidR="009470F0" w:rsidRPr="00110288">
              <w:rPr>
                <w:rFonts w:ascii="Lato" w:hAnsi="Lato" w:cs="Calibri"/>
                <w:b/>
              </w:rPr>
              <w:t xml:space="preserve">, integrante del Consejo de la Judicatura del Estado de Tlaxcala.  - - - - - - - - - </w:t>
            </w:r>
            <w:r w:rsidR="00E10315" w:rsidRPr="00110288">
              <w:rPr>
                <w:rFonts w:ascii="Lato" w:hAnsi="Lato" w:cs="Calibri"/>
                <w:b/>
              </w:rPr>
              <w:t xml:space="preserve">- - - - - - </w:t>
            </w:r>
          </w:p>
        </w:tc>
        <w:tc>
          <w:tcPr>
            <w:tcW w:w="1842" w:type="dxa"/>
            <w:hideMark/>
          </w:tcPr>
          <w:p w14:paraId="4924704C" w14:textId="433A1542" w:rsidR="009470F0" w:rsidRPr="00110288" w:rsidRDefault="00811873" w:rsidP="00CF3870">
            <w:pPr>
              <w:tabs>
                <w:tab w:val="left" w:pos="5387"/>
              </w:tabs>
              <w:spacing w:after="0" w:line="480" w:lineRule="auto"/>
              <w:ind w:left="36" w:right="-234"/>
              <w:jc w:val="both"/>
              <w:rPr>
                <w:rFonts w:ascii="Lato" w:hAnsi="Lato" w:cs="Calibri"/>
                <w:b/>
              </w:rPr>
            </w:pPr>
            <w:r w:rsidRPr="00110288">
              <w:rPr>
                <w:rFonts w:ascii="Lato" w:hAnsi="Lato" w:cs="Calibri"/>
                <w:b/>
              </w:rPr>
              <w:t>- - - - - - - - - - - -</w:t>
            </w:r>
            <w:r w:rsidR="009470F0" w:rsidRPr="00110288">
              <w:rPr>
                <w:rFonts w:ascii="Lato" w:hAnsi="Lato" w:cs="Calibri"/>
                <w:b/>
              </w:rPr>
              <w:t xml:space="preserve">Presente - - - - - </w:t>
            </w:r>
          </w:p>
        </w:tc>
      </w:tr>
      <w:tr w:rsidR="00110288" w:rsidRPr="00110288" w14:paraId="3C563685" w14:textId="77777777" w:rsidTr="00545540">
        <w:tc>
          <w:tcPr>
            <w:tcW w:w="6096" w:type="dxa"/>
            <w:hideMark/>
          </w:tcPr>
          <w:p w14:paraId="718DD7B4" w14:textId="36BF231D" w:rsidR="009470F0" w:rsidRPr="00110288" w:rsidRDefault="009470F0" w:rsidP="00110288">
            <w:pPr>
              <w:tabs>
                <w:tab w:val="left" w:pos="5387"/>
              </w:tabs>
              <w:spacing w:line="480" w:lineRule="auto"/>
              <w:ind w:right="36"/>
              <w:jc w:val="both"/>
              <w:rPr>
                <w:rFonts w:ascii="Lato" w:hAnsi="Lato" w:cs="Calibri"/>
                <w:b/>
              </w:rPr>
            </w:pPr>
            <w:r w:rsidRPr="00110288">
              <w:rPr>
                <w:rFonts w:ascii="Lato" w:hAnsi="Lato" w:cs="Calibri"/>
                <w:b/>
              </w:rPr>
              <w:t xml:space="preserve">Licenciada Violeta Fernández Vázquez, integrante del Consejo de la Judicatura del Estado de Tlaxcala.  - - - - - - - - </w:t>
            </w:r>
          </w:p>
        </w:tc>
        <w:tc>
          <w:tcPr>
            <w:tcW w:w="1842" w:type="dxa"/>
            <w:hideMark/>
          </w:tcPr>
          <w:p w14:paraId="69990AB3" w14:textId="00BA41C3" w:rsidR="009470F0" w:rsidRPr="00110288" w:rsidRDefault="009470F0" w:rsidP="00CF3870">
            <w:pPr>
              <w:tabs>
                <w:tab w:val="left" w:pos="5387"/>
              </w:tabs>
              <w:spacing w:after="0" w:line="480" w:lineRule="auto"/>
              <w:ind w:left="36" w:right="-234"/>
              <w:jc w:val="both"/>
              <w:rPr>
                <w:rFonts w:ascii="Lato" w:hAnsi="Lato" w:cs="Calibri"/>
                <w:b/>
              </w:rPr>
            </w:pPr>
            <w:r w:rsidRPr="00110288">
              <w:rPr>
                <w:rFonts w:ascii="Lato" w:hAnsi="Lato" w:cs="Calibri"/>
                <w:b/>
              </w:rPr>
              <w:t xml:space="preserve">- - - - - - - - - - - - </w:t>
            </w:r>
          </w:p>
          <w:p w14:paraId="2F3C6E0A" w14:textId="77777777" w:rsidR="009470F0" w:rsidRPr="00110288" w:rsidRDefault="009470F0" w:rsidP="00CF3870">
            <w:pPr>
              <w:tabs>
                <w:tab w:val="left" w:pos="5387"/>
              </w:tabs>
              <w:spacing w:line="480" w:lineRule="auto"/>
              <w:ind w:left="36" w:right="-234"/>
              <w:jc w:val="both"/>
              <w:rPr>
                <w:rFonts w:ascii="Lato" w:hAnsi="Lato" w:cs="Calibri"/>
                <w:b/>
              </w:rPr>
            </w:pPr>
            <w:r w:rsidRPr="00110288">
              <w:rPr>
                <w:rFonts w:ascii="Lato" w:hAnsi="Lato" w:cs="Calibri"/>
                <w:b/>
              </w:rPr>
              <w:t xml:space="preserve">Presente - - - - - </w:t>
            </w:r>
          </w:p>
        </w:tc>
      </w:tr>
      <w:tr w:rsidR="00110288" w:rsidRPr="00110288" w14:paraId="012CB99D" w14:textId="77777777" w:rsidTr="00545540">
        <w:tc>
          <w:tcPr>
            <w:tcW w:w="6096" w:type="dxa"/>
          </w:tcPr>
          <w:p w14:paraId="527671B2" w14:textId="7259DD9B" w:rsidR="009470F0" w:rsidRPr="00110288" w:rsidRDefault="00E10315" w:rsidP="00110288">
            <w:pPr>
              <w:tabs>
                <w:tab w:val="left" w:pos="5387"/>
              </w:tabs>
              <w:spacing w:line="480" w:lineRule="auto"/>
              <w:ind w:right="36"/>
              <w:jc w:val="both"/>
              <w:rPr>
                <w:rFonts w:ascii="Lato" w:hAnsi="Lato" w:cs="Calibri"/>
                <w:b/>
              </w:rPr>
            </w:pPr>
            <w:r w:rsidRPr="00110288">
              <w:rPr>
                <w:rFonts w:ascii="Lato" w:hAnsi="Lato" w:cs="Calibri"/>
                <w:b/>
              </w:rPr>
              <w:t xml:space="preserve">Licenciada </w:t>
            </w:r>
            <w:r w:rsidR="009470F0" w:rsidRPr="00110288">
              <w:rPr>
                <w:rFonts w:ascii="Lato" w:hAnsi="Lato" w:cs="Calibri"/>
                <w:b/>
              </w:rPr>
              <w:t xml:space="preserve">Alejandra </w:t>
            </w:r>
            <w:proofErr w:type="spellStart"/>
            <w:r w:rsidRPr="00110288">
              <w:rPr>
                <w:rFonts w:ascii="Lato" w:hAnsi="Lato" w:cs="Calibri"/>
                <w:b/>
              </w:rPr>
              <w:t>C</w:t>
            </w:r>
            <w:r w:rsidR="00BB518F" w:rsidRPr="00110288">
              <w:rPr>
                <w:rFonts w:ascii="Lato" w:hAnsi="Lato" w:cs="Calibri"/>
                <w:b/>
              </w:rPr>
              <w:t>óse</w:t>
            </w:r>
            <w:r w:rsidRPr="00110288">
              <w:rPr>
                <w:rFonts w:ascii="Lato" w:hAnsi="Lato" w:cs="Calibri"/>
                <w:b/>
              </w:rPr>
              <w:t>tl</w:t>
            </w:r>
            <w:proofErr w:type="spellEnd"/>
            <w:r w:rsidRPr="00110288">
              <w:rPr>
                <w:rFonts w:ascii="Lato" w:hAnsi="Lato" w:cs="Calibri"/>
                <w:b/>
              </w:rPr>
              <w:t xml:space="preserve"> Flores</w:t>
            </w:r>
            <w:r w:rsidR="009470F0" w:rsidRPr="00110288">
              <w:rPr>
                <w:rFonts w:ascii="Lato" w:hAnsi="Lato" w:cs="Calibri"/>
                <w:b/>
              </w:rPr>
              <w:t>, integrante del Consejo de la Judicatura del Estado de Tlaxcala. - - - - - - - - - -</w:t>
            </w:r>
            <w:r w:rsidRPr="00110288">
              <w:rPr>
                <w:rFonts w:ascii="Lato" w:hAnsi="Lato" w:cs="Calibri"/>
                <w:b/>
              </w:rPr>
              <w:t xml:space="preserve"> - - - - - </w:t>
            </w:r>
          </w:p>
        </w:tc>
        <w:tc>
          <w:tcPr>
            <w:tcW w:w="1842" w:type="dxa"/>
          </w:tcPr>
          <w:p w14:paraId="24F48A4A" w14:textId="40D152E5" w:rsidR="009470F0" w:rsidRPr="00110288" w:rsidRDefault="009470F0" w:rsidP="00CF3870">
            <w:pPr>
              <w:tabs>
                <w:tab w:val="left" w:pos="5387"/>
              </w:tabs>
              <w:spacing w:after="0" w:line="480" w:lineRule="auto"/>
              <w:ind w:left="36" w:right="-234"/>
              <w:jc w:val="both"/>
              <w:rPr>
                <w:rFonts w:ascii="Lato" w:hAnsi="Lato" w:cs="Calibri"/>
                <w:b/>
              </w:rPr>
            </w:pPr>
            <w:r w:rsidRPr="00110288">
              <w:rPr>
                <w:rFonts w:ascii="Lato" w:hAnsi="Lato" w:cs="Calibri"/>
                <w:b/>
              </w:rPr>
              <w:t xml:space="preserve">- - - - - - - - - - - - </w:t>
            </w:r>
          </w:p>
          <w:p w14:paraId="5469FD71" w14:textId="77777777" w:rsidR="009470F0" w:rsidRPr="00110288" w:rsidRDefault="009470F0" w:rsidP="00CF3870">
            <w:pPr>
              <w:tabs>
                <w:tab w:val="left" w:pos="5387"/>
              </w:tabs>
              <w:spacing w:after="0" w:line="480" w:lineRule="auto"/>
              <w:ind w:left="36" w:right="-234"/>
              <w:jc w:val="both"/>
              <w:rPr>
                <w:rFonts w:ascii="Lato" w:hAnsi="Lato" w:cs="Calibri"/>
                <w:b/>
              </w:rPr>
            </w:pPr>
            <w:r w:rsidRPr="00110288">
              <w:rPr>
                <w:rFonts w:ascii="Lato" w:hAnsi="Lato" w:cs="Calibri"/>
                <w:b/>
              </w:rPr>
              <w:t xml:space="preserve">Presente- - - - - -  </w:t>
            </w:r>
          </w:p>
        </w:tc>
      </w:tr>
      <w:tr w:rsidR="009470F0" w:rsidRPr="00110288" w14:paraId="4C542908" w14:textId="77777777" w:rsidTr="00545540">
        <w:tc>
          <w:tcPr>
            <w:tcW w:w="6096" w:type="dxa"/>
          </w:tcPr>
          <w:p w14:paraId="2BD95C2E" w14:textId="75738D4E" w:rsidR="009470F0" w:rsidRPr="00110288" w:rsidRDefault="009470F0" w:rsidP="00110288">
            <w:pPr>
              <w:tabs>
                <w:tab w:val="left" w:pos="5387"/>
              </w:tabs>
              <w:spacing w:after="120" w:line="480" w:lineRule="auto"/>
              <w:ind w:right="36"/>
              <w:jc w:val="both"/>
              <w:rPr>
                <w:rFonts w:ascii="Lato" w:hAnsi="Lato" w:cs="Calibri"/>
                <w:b/>
              </w:rPr>
            </w:pPr>
            <w:r w:rsidRPr="00110288">
              <w:rPr>
                <w:rFonts w:ascii="Lato" w:hAnsi="Lato" w:cs="Calibri"/>
                <w:b/>
              </w:rPr>
              <w:t xml:space="preserve">Licenciado </w:t>
            </w:r>
            <w:r w:rsidR="00926A60" w:rsidRPr="00110288">
              <w:rPr>
                <w:rFonts w:ascii="Lato" w:hAnsi="Lato" w:cs="Calibri"/>
                <w:b/>
              </w:rPr>
              <w:t>Miguel Sánchez Ramírez</w:t>
            </w:r>
            <w:r w:rsidRPr="00110288">
              <w:rPr>
                <w:rFonts w:ascii="Lato" w:hAnsi="Lato" w:cs="Calibri"/>
                <w:b/>
              </w:rPr>
              <w:t xml:space="preserve">, integrante del Consejo de la Judicatura del Estado de Tlaxcala. - - - - - - - - - </w:t>
            </w:r>
            <w:r w:rsidR="00926A60" w:rsidRPr="00110288">
              <w:rPr>
                <w:rFonts w:ascii="Lato" w:hAnsi="Lato" w:cs="Calibri"/>
                <w:b/>
              </w:rPr>
              <w:t>- - - - - -</w:t>
            </w:r>
          </w:p>
        </w:tc>
        <w:tc>
          <w:tcPr>
            <w:tcW w:w="1842" w:type="dxa"/>
          </w:tcPr>
          <w:p w14:paraId="4CB227A1" w14:textId="19618F77" w:rsidR="009470F0" w:rsidRPr="00110288" w:rsidRDefault="009470F0" w:rsidP="00CF3870">
            <w:pPr>
              <w:tabs>
                <w:tab w:val="left" w:pos="5387"/>
              </w:tabs>
              <w:spacing w:after="0" w:line="480" w:lineRule="auto"/>
              <w:ind w:left="36" w:right="-234"/>
              <w:jc w:val="both"/>
              <w:rPr>
                <w:rFonts w:ascii="Lato" w:hAnsi="Lato" w:cs="Calibri"/>
                <w:b/>
              </w:rPr>
            </w:pPr>
            <w:r w:rsidRPr="00110288">
              <w:rPr>
                <w:rFonts w:ascii="Lato" w:hAnsi="Lato" w:cs="Calibri"/>
                <w:b/>
              </w:rPr>
              <w:t xml:space="preserve">- - - - - - - - - - - - </w:t>
            </w:r>
          </w:p>
          <w:p w14:paraId="69A72570" w14:textId="50705E69" w:rsidR="009470F0" w:rsidRPr="00110288" w:rsidRDefault="00ED185C" w:rsidP="00CF3870">
            <w:pPr>
              <w:tabs>
                <w:tab w:val="left" w:pos="5387"/>
              </w:tabs>
              <w:spacing w:after="0" w:line="480" w:lineRule="auto"/>
              <w:ind w:left="36" w:right="-234"/>
              <w:jc w:val="both"/>
              <w:rPr>
                <w:rFonts w:ascii="Lato" w:hAnsi="Lato" w:cs="Calibri"/>
                <w:b/>
              </w:rPr>
            </w:pPr>
            <w:proofErr w:type="gramStart"/>
            <w:r w:rsidRPr="00110288">
              <w:rPr>
                <w:rFonts w:ascii="Lato" w:hAnsi="Lato" w:cs="Calibri"/>
                <w:b/>
              </w:rPr>
              <w:t>Presente</w:t>
            </w:r>
            <w:r w:rsidR="00E10315" w:rsidRPr="00110288">
              <w:rPr>
                <w:rFonts w:ascii="Lato" w:hAnsi="Lato" w:cs="Calibri"/>
                <w:b/>
              </w:rPr>
              <w:t xml:space="preserve"> </w:t>
            </w:r>
            <w:r w:rsidR="009470F0" w:rsidRPr="00110288">
              <w:rPr>
                <w:rFonts w:ascii="Lato" w:hAnsi="Lato" w:cs="Calibri"/>
                <w:b/>
              </w:rPr>
              <w:t xml:space="preserve"> -</w:t>
            </w:r>
            <w:proofErr w:type="gramEnd"/>
            <w:r w:rsidR="009470F0" w:rsidRPr="00110288">
              <w:rPr>
                <w:rFonts w:ascii="Lato" w:hAnsi="Lato" w:cs="Calibri"/>
                <w:b/>
              </w:rPr>
              <w:t xml:space="preserve"> - - --</w:t>
            </w:r>
          </w:p>
        </w:tc>
      </w:tr>
    </w:tbl>
    <w:p w14:paraId="0F8503D1" w14:textId="77777777" w:rsidR="009470F0" w:rsidRPr="00110288" w:rsidRDefault="009470F0" w:rsidP="00CF3870">
      <w:pPr>
        <w:spacing w:after="0" w:line="480" w:lineRule="auto"/>
        <w:ind w:right="-234"/>
        <w:jc w:val="both"/>
        <w:rPr>
          <w:rFonts w:ascii="Lato" w:hAnsi="Lato" w:cstheme="minorHAnsi"/>
          <w:b/>
        </w:rPr>
      </w:pPr>
    </w:p>
    <w:p w14:paraId="7CF02F21" w14:textId="7BEEF224" w:rsidR="009470F0" w:rsidRPr="00110288" w:rsidRDefault="009470F0" w:rsidP="00CF3870">
      <w:pPr>
        <w:spacing w:after="0" w:line="480" w:lineRule="auto"/>
        <w:ind w:right="-234"/>
        <w:jc w:val="both"/>
        <w:rPr>
          <w:rFonts w:ascii="Lato" w:hAnsi="Lato" w:cstheme="minorHAnsi"/>
        </w:rPr>
      </w:pPr>
      <w:r w:rsidRPr="00110288">
        <w:rPr>
          <w:rFonts w:ascii="Lato" w:hAnsi="Lato" w:cstheme="minorHAnsi"/>
          <w:b/>
        </w:rPr>
        <w:t xml:space="preserve">En uso de la palabra, la </w:t>
      </w:r>
      <w:proofErr w:type="gramStart"/>
      <w:r w:rsidRPr="00110288">
        <w:rPr>
          <w:rFonts w:ascii="Lato" w:hAnsi="Lato" w:cstheme="minorHAnsi"/>
          <w:b/>
        </w:rPr>
        <w:t>Secretaria Ejecutiva</w:t>
      </w:r>
      <w:proofErr w:type="gramEnd"/>
      <w:r w:rsidRPr="00110288">
        <w:rPr>
          <w:rFonts w:ascii="Lato" w:hAnsi="Lato" w:cstheme="minorHAnsi"/>
          <w:b/>
        </w:rPr>
        <w:t xml:space="preserve"> dijo</w:t>
      </w:r>
      <w:r w:rsidRPr="00110288">
        <w:rPr>
          <w:rFonts w:ascii="Lato" w:hAnsi="Lato" w:cstheme="minorHAnsi"/>
        </w:rPr>
        <w:t>:</w:t>
      </w:r>
      <w:r w:rsidR="00E10315" w:rsidRPr="00110288">
        <w:rPr>
          <w:rFonts w:ascii="Lato" w:hAnsi="Lato" w:cstheme="minorHAnsi"/>
        </w:rPr>
        <w:t xml:space="preserve"> </w:t>
      </w:r>
      <w:r w:rsidRPr="00110288">
        <w:rPr>
          <w:rFonts w:ascii="Lato" w:hAnsi="Lato" w:cstheme="minorHAnsi"/>
        </w:rPr>
        <w:t xml:space="preserve">informo </w:t>
      </w:r>
      <w:r w:rsidR="00ED185C" w:rsidRPr="00110288">
        <w:rPr>
          <w:rFonts w:ascii="Lato" w:hAnsi="Lato" w:cstheme="minorHAnsi"/>
        </w:rPr>
        <w:t xml:space="preserve">Magistrada </w:t>
      </w:r>
      <w:r w:rsidRPr="00110288">
        <w:rPr>
          <w:rFonts w:ascii="Lato" w:hAnsi="Lato" w:cstheme="minorHAnsi"/>
        </w:rPr>
        <w:t xml:space="preserve">Presidenta que existe quórum legal para sesionar el día de hoy por encontrarse presentes </w:t>
      </w:r>
      <w:r w:rsidR="00926A60" w:rsidRPr="00110288">
        <w:rPr>
          <w:rFonts w:ascii="Lato" w:hAnsi="Lato" w:cstheme="minorHAnsi"/>
        </w:rPr>
        <w:t>cinco</w:t>
      </w:r>
      <w:r w:rsidRPr="00110288">
        <w:rPr>
          <w:rFonts w:ascii="Lato" w:hAnsi="Lato" w:cstheme="minorHAnsi"/>
        </w:rPr>
        <w:t xml:space="preserve"> integrantes de este Consejo; lo anterior, en términos del artículo 67, segundo párrafo, de la Ley Orgánica del Poder Judicial del Estado. </w:t>
      </w:r>
    </w:p>
    <w:p w14:paraId="17EF4D6A" w14:textId="11ADA279" w:rsidR="009470F0" w:rsidRDefault="009470F0" w:rsidP="00CF3870">
      <w:pPr>
        <w:spacing w:after="0" w:line="480" w:lineRule="auto"/>
        <w:ind w:right="-234"/>
        <w:jc w:val="both"/>
        <w:rPr>
          <w:rFonts w:ascii="Lato" w:hAnsi="Lato" w:cstheme="minorHAnsi"/>
          <w:b/>
          <w:bCs/>
          <w:u w:val="single"/>
        </w:rPr>
      </w:pPr>
      <w:r w:rsidRPr="00110288">
        <w:rPr>
          <w:rFonts w:ascii="Lato" w:hAnsi="Lato" w:cstheme="minorHAnsi"/>
          <w:b/>
        </w:rPr>
        <w:t xml:space="preserve">En uso de la palabra, la Magistrada </w:t>
      </w:r>
      <w:proofErr w:type="gramStart"/>
      <w:r w:rsidRPr="00110288">
        <w:rPr>
          <w:rFonts w:ascii="Lato" w:hAnsi="Lato" w:cstheme="minorHAnsi"/>
          <w:b/>
        </w:rPr>
        <w:t>Presidenta</w:t>
      </w:r>
      <w:proofErr w:type="gramEnd"/>
      <w:r w:rsidRPr="00110288">
        <w:rPr>
          <w:rFonts w:ascii="Lato" w:hAnsi="Lato" w:cstheme="minorHAnsi"/>
          <w:b/>
        </w:rPr>
        <w:t xml:space="preserve"> dijo: </w:t>
      </w:r>
      <w:r w:rsidRPr="00110288">
        <w:rPr>
          <w:rFonts w:ascii="Lato" w:hAnsi="Lato" w:cstheme="minorHAnsi"/>
        </w:rPr>
        <w:t>en razón de existir quórum legal, declaro abierta la presente sesión para que todos los acuerdos que se dicten,</w:t>
      </w:r>
      <w:r w:rsidR="00F3112F" w:rsidRPr="00110288">
        <w:rPr>
          <w:rFonts w:ascii="Lato" w:hAnsi="Lato" w:cstheme="minorHAnsi"/>
        </w:rPr>
        <w:t xml:space="preserve"> </w:t>
      </w:r>
      <w:r w:rsidRPr="00110288">
        <w:rPr>
          <w:rFonts w:ascii="Lato" w:hAnsi="Lato" w:cstheme="minorHAnsi"/>
        </w:rPr>
        <w:t>tengan la validez que en derecho les corresponde</w:t>
      </w:r>
      <w:r w:rsidR="00F3112F" w:rsidRPr="00110288">
        <w:rPr>
          <w:rFonts w:ascii="Lato" w:hAnsi="Lato" w:cstheme="minorHAnsi"/>
        </w:rPr>
        <w:t>;</w:t>
      </w:r>
      <w:r w:rsidR="000904FE" w:rsidRPr="00110288">
        <w:rPr>
          <w:rFonts w:ascii="Lato" w:hAnsi="Lato" w:cstheme="minorHAnsi"/>
          <w:bCs/>
        </w:rPr>
        <w:t xml:space="preserve"> para continuar, s</w:t>
      </w:r>
      <w:r w:rsidRPr="00110288">
        <w:rPr>
          <w:rFonts w:ascii="Lato" w:hAnsi="Lato" w:cstheme="minorHAnsi"/>
        </w:rPr>
        <w:t>ometo a consideración el orden del día de la convocatoria que les fue entregada.</w:t>
      </w:r>
      <w:r w:rsidR="00613D08" w:rsidRPr="00110288">
        <w:rPr>
          <w:rFonts w:ascii="Lato" w:hAnsi="Lato" w:cstheme="minorHAnsi"/>
        </w:rPr>
        <w:t xml:space="preserve"> </w:t>
      </w:r>
      <w:r w:rsidR="00613D08" w:rsidRPr="00110288">
        <w:rPr>
          <w:rFonts w:ascii="Lato" w:hAnsi="Lato" w:cstheme="minorHAnsi"/>
          <w:b/>
          <w:bCs/>
          <w:u w:val="single"/>
        </w:rPr>
        <w:t>APROBADO POR UNANIMIDAD DE VOTOS.</w:t>
      </w:r>
    </w:p>
    <w:p w14:paraId="63669DEE" w14:textId="60219DE5" w:rsidR="006B4D6E" w:rsidRPr="00110288" w:rsidRDefault="00170F58" w:rsidP="00CF3870">
      <w:pPr>
        <w:tabs>
          <w:tab w:val="left" w:pos="5387"/>
        </w:tabs>
        <w:spacing w:after="0" w:line="480" w:lineRule="auto"/>
        <w:ind w:right="-234" w:firstLine="851"/>
        <w:jc w:val="both"/>
        <w:rPr>
          <w:rFonts w:ascii="Lato" w:hAnsi="Lato" w:cstheme="minorHAnsi"/>
          <w:b/>
          <w:bCs/>
          <w:bdr w:val="none" w:sz="0" w:space="0" w:color="auto" w:frame="1"/>
        </w:rPr>
      </w:pPr>
      <w:bookmarkStart w:id="5" w:name="_Hlk188608947"/>
      <w:bookmarkEnd w:id="4"/>
      <w:r w:rsidRPr="00110288">
        <w:rPr>
          <w:rFonts w:ascii="Lato" w:hAnsi="Lato"/>
          <w:b/>
          <w:bCs/>
        </w:rPr>
        <w:t>ACUERDO II/</w:t>
      </w:r>
      <w:r w:rsidR="0045005A" w:rsidRPr="00110288">
        <w:rPr>
          <w:rFonts w:ascii="Lato" w:hAnsi="Lato"/>
          <w:b/>
          <w:bCs/>
        </w:rPr>
        <w:t>08</w:t>
      </w:r>
      <w:r w:rsidRPr="00110288">
        <w:rPr>
          <w:rFonts w:ascii="Lato" w:hAnsi="Lato"/>
          <w:b/>
          <w:bCs/>
        </w:rPr>
        <w:t>/202</w:t>
      </w:r>
      <w:r w:rsidR="009644DC" w:rsidRPr="00110288">
        <w:rPr>
          <w:rFonts w:ascii="Lato" w:hAnsi="Lato"/>
          <w:b/>
          <w:bCs/>
        </w:rPr>
        <w:t>4</w:t>
      </w:r>
      <w:r w:rsidRPr="00110288">
        <w:rPr>
          <w:rFonts w:ascii="Lato" w:hAnsi="Lato"/>
          <w:b/>
          <w:bCs/>
        </w:rPr>
        <w:t xml:space="preserve">. </w:t>
      </w:r>
      <w:r w:rsidR="00863544" w:rsidRPr="00110288">
        <w:rPr>
          <w:rFonts w:ascii="Lato" w:hAnsi="Lato"/>
          <w:b/>
          <w:bCs/>
        </w:rPr>
        <w:t xml:space="preserve"> </w:t>
      </w:r>
      <w:r w:rsidR="006B4D6E" w:rsidRPr="00110288">
        <w:rPr>
          <w:rFonts w:ascii="Lato" w:hAnsi="Lato"/>
          <w:b/>
          <w:bCs/>
        </w:rPr>
        <w:t>O</w:t>
      </w:r>
      <w:r w:rsidR="006B4D6E" w:rsidRPr="00110288">
        <w:rPr>
          <w:rFonts w:ascii="Lato" w:hAnsi="Lato" w:cstheme="minorHAnsi"/>
          <w:b/>
          <w:bCs/>
          <w:bdr w:val="none" w:sz="0" w:space="0" w:color="auto" w:frame="1"/>
        </w:rPr>
        <w:t>ficio número TES/024/2025, recibido el veintidós de enero de dos mil veinticinco, signado por el Tesorero del Poder Judicial del Estado.</w:t>
      </w:r>
      <w:r w:rsidR="00A92781" w:rsidRPr="00110288">
        <w:rPr>
          <w:rFonts w:ascii="Lato" w:hAnsi="Lato" w:cstheme="minorHAnsi"/>
          <w:b/>
          <w:bCs/>
          <w:bdr w:val="none" w:sz="0" w:space="0" w:color="auto" w:frame="1"/>
        </w:rPr>
        <w:t xml:space="preserve"> - - - - - - - - - - - - - - - - - - - - - - - - - - - - - - - - - - - - - - - - - - - - -</w:t>
      </w:r>
    </w:p>
    <w:p w14:paraId="468FC9EF" w14:textId="1CDD0D09" w:rsidR="006B4D6E" w:rsidRPr="00110288" w:rsidRDefault="006B4D6E" w:rsidP="00CF3870">
      <w:pPr>
        <w:tabs>
          <w:tab w:val="left" w:pos="5387"/>
        </w:tabs>
        <w:spacing w:after="0" w:line="480" w:lineRule="auto"/>
        <w:ind w:right="-234"/>
        <w:jc w:val="both"/>
        <w:rPr>
          <w:rFonts w:ascii="Lato" w:hAnsi="Lato"/>
        </w:rPr>
      </w:pPr>
      <w:r w:rsidRPr="00110288">
        <w:rPr>
          <w:rFonts w:ascii="Lato" w:hAnsi="Lato" w:cstheme="minorHAnsi"/>
          <w:bdr w:val="none" w:sz="0" w:space="0" w:color="auto" w:frame="1"/>
        </w:rPr>
        <w:t xml:space="preserve">Dada </w:t>
      </w:r>
      <w:r w:rsidRPr="00110288">
        <w:rPr>
          <w:rFonts w:ascii="Lato" w:hAnsi="Lato"/>
        </w:rPr>
        <w:t>cuenta con el oficio de referencia, mediante el cual, el Tesorero del Poder Judicial del Estado, remite información financiera y presupuestal del Fondo Auxiliar para la Impartición de Justicia, correspondiente al mes de diciembre de dos mil veinticuatro</w:t>
      </w:r>
      <w:r w:rsidR="00613D08" w:rsidRPr="00110288">
        <w:rPr>
          <w:rFonts w:ascii="Lato" w:hAnsi="Lato"/>
        </w:rPr>
        <w:t>; a</w:t>
      </w:r>
      <w:r w:rsidRPr="00110288">
        <w:rPr>
          <w:rFonts w:ascii="Lato" w:hAnsi="Lato"/>
        </w:rPr>
        <w:t>l respecto, en atención al informe que rinde el Tesorero del Poder Judicial del Estado, con fundamento en los artículos 85 de la Constitución Política del Estado Libre y Soberano de Tlaxcala</w:t>
      </w:r>
      <w:r w:rsidR="009502E3" w:rsidRPr="00110288">
        <w:rPr>
          <w:rFonts w:ascii="Lato" w:hAnsi="Lato"/>
        </w:rPr>
        <w:t xml:space="preserve">, en relación con el </w:t>
      </w:r>
      <w:r w:rsidR="003A208B" w:rsidRPr="00110288">
        <w:rPr>
          <w:rFonts w:ascii="Lato" w:hAnsi="Lato"/>
        </w:rPr>
        <w:t>cuarto transitorio del decreto 119</w:t>
      </w:r>
      <w:r w:rsidR="00613D08" w:rsidRPr="00110288">
        <w:rPr>
          <w:rFonts w:ascii="Lato" w:hAnsi="Lato"/>
        </w:rPr>
        <w:t xml:space="preserve"> publicado en el Periódico Oficial del Gobierno del Estado, el diez de </w:t>
      </w:r>
      <w:r w:rsidR="008571CC" w:rsidRPr="00110288">
        <w:rPr>
          <w:rFonts w:ascii="Lato" w:hAnsi="Lato"/>
        </w:rPr>
        <w:t xml:space="preserve">diciembre </w:t>
      </w:r>
      <w:r w:rsidR="00613D08" w:rsidRPr="00110288">
        <w:rPr>
          <w:rFonts w:ascii="Lato" w:hAnsi="Lato"/>
        </w:rPr>
        <w:t>de dos mil veintic</w:t>
      </w:r>
      <w:r w:rsidR="008571CC" w:rsidRPr="00110288">
        <w:rPr>
          <w:rFonts w:ascii="Lato" w:hAnsi="Lato"/>
        </w:rPr>
        <w:t>uatro</w:t>
      </w:r>
      <w:r w:rsidR="009502E3" w:rsidRPr="00110288">
        <w:rPr>
          <w:rFonts w:ascii="Lato" w:hAnsi="Lato"/>
        </w:rPr>
        <w:t>;</w:t>
      </w:r>
      <w:r w:rsidR="00613D08" w:rsidRPr="00110288">
        <w:rPr>
          <w:rFonts w:ascii="Lato" w:hAnsi="Lato"/>
        </w:rPr>
        <w:t xml:space="preserve"> </w:t>
      </w:r>
      <w:r w:rsidRPr="00110288">
        <w:rPr>
          <w:rFonts w:ascii="Lato" w:hAnsi="Lato"/>
        </w:rPr>
        <w:t xml:space="preserve"> 61, 101, 101 Bis, fracción III y 104 de la Ley Orgánica del Poder Judicial del Estado, se determina:</w:t>
      </w:r>
    </w:p>
    <w:p w14:paraId="39516A54" w14:textId="77777777" w:rsidR="006B4D6E" w:rsidRPr="00110288" w:rsidRDefault="006B4D6E" w:rsidP="00CF3870">
      <w:pPr>
        <w:pStyle w:val="Prrafodelista"/>
        <w:numPr>
          <w:ilvl w:val="0"/>
          <w:numId w:val="61"/>
        </w:numPr>
        <w:tabs>
          <w:tab w:val="left" w:pos="5387"/>
        </w:tabs>
        <w:spacing w:line="480" w:lineRule="auto"/>
        <w:ind w:left="567" w:right="-234"/>
        <w:jc w:val="both"/>
        <w:rPr>
          <w:rFonts w:ascii="Lato" w:hAnsi="Lato"/>
        </w:rPr>
      </w:pPr>
      <w:r w:rsidRPr="00110288">
        <w:rPr>
          <w:rFonts w:ascii="Lato" w:hAnsi="Lato"/>
        </w:rPr>
        <w:lastRenderedPageBreak/>
        <w:t>Tomar conocimiento del oficio de cuenta.</w:t>
      </w:r>
    </w:p>
    <w:p w14:paraId="0368ED6A" w14:textId="7CF4C631" w:rsidR="006B4D6E" w:rsidRPr="00110288" w:rsidRDefault="006B4D6E" w:rsidP="00CF3870">
      <w:pPr>
        <w:pStyle w:val="Prrafodelista"/>
        <w:numPr>
          <w:ilvl w:val="0"/>
          <w:numId w:val="61"/>
        </w:numPr>
        <w:tabs>
          <w:tab w:val="left" w:pos="5387"/>
        </w:tabs>
        <w:spacing w:line="480" w:lineRule="auto"/>
        <w:ind w:left="567" w:right="-234"/>
        <w:jc w:val="both"/>
        <w:rPr>
          <w:rFonts w:ascii="Lato" w:hAnsi="Lato"/>
        </w:rPr>
      </w:pPr>
      <w:r w:rsidRPr="00110288">
        <w:rPr>
          <w:rFonts w:ascii="Lato" w:hAnsi="Lato"/>
        </w:rPr>
        <w:t>Aprobar el estado que guarda el Fondo Auxiliar para la Impartición de Justicia, correspondiente al mes de diciembre de dos mil veinticuatro.</w:t>
      </w:r>
    </w:p>
    <w:p w14:paraId="6B68A743" w14:textId="2AAE5D10" w:rsidR="006B4D6E" w:rsidRPr="00110288" w:rsidRDefault="006B4D6E" w:rsidP="00CF3870">
      <w:pPr>
        <w:tabs>
          <w:tab w:val="left" w:pos="5387"/>
        </w:tabs>
        <w:spacing w:after="0" w:line="480" w:lineRule="auto"/>
        <w:ind w:right="-234"/>
        <w:jc w:val="both"/>
        <w:rPr>
          <w:rFonts w:ascii="Lato" w:hAnsi="Lato"/>
          <w:b/>
          <w:bCs/>
          <w:u w:val="single"/>
        </w:rPr>
      </w:pPr>
      <w:r w:rsidRPr="00110288">
        <w:rPr>
          <w:rFonts w:ascii="Lato" w:hAnsi="Lato"/>
        </w:rPr>
        <w:t>Comuníquese esta determinación al Tesorero y Contralor del Poder Judicial del Estado, para los efectos legales a que haya lugar.</w:t>
      </w:r>
      <w:r w:rsidR="00613D08" w:rsidRPr="00110288">
        <w:rPr>
          <w:rFonts w:ascii="Lato" w:hAnsi="Lato"/>
        </w:rPr>
        <w:t xml:space="preserve"> </w:t>
      </w:r>
      <w:bookmarkEnd w:id="5"/>
      <w:r w:rsidR="00613D08" w:rsidRPr="00110288">
        <w:rPr>
          <w:rFonts w:ascii="Lato" w:hAnsi="Lato"/>
          <w:b/>
          <w:bCs/>
          <w:u w:val="single"/>
        </w:rPr>
        <w:t>APROBADO POR UNANIMIDAD DE VOTOS.</w:t>
      </w:r>
    </w:p>
    <w:p w14:paraId="16BA1252" w14:textId="2B578769" w:rsidR="006B4D6E" w:rsidRPr="00110288" w:rsidRDefault="00E10315" w:rsidP="00CF3870">
      <w:pPr>
        <w:pStyle w:val="Prrafodelista"/>
        <w:tabs>
          <w:tab w:val="left" w:pos="5387"/>
        </w:tabs>
        <w:spacing w:after="0" w:line="480" w:lineRule="auto"/>
        <w:ind w:left="0" w:right="-234" w:firstLine="851"/>
        <w:jc w:val="both"/>
        <w:rPr>
          <w:rFonts w:ascii="Lato" w:hAnsi="Lato" w:cstheme="minorHAnsi"/>
          <w:b/>
          <w:bCs/>
          <w:bdr w:val="none" w:sz="0" w:space="0" w:color="auto" w:frame="1"/>
        </w:rPr>
      </w:pPr>
      <w:r w:rsidRPr="00110288">
        <w:rPr>
          <w:rFonts w:ascii="Lato" w:hAnsi="Lato"/>
          <w:b/>
          <w:bCs/>
        </w:rPr>
        <w:t>ACUERDO III/</w:t>
      </w:r>
      <w:r w:rsidR="006B4D6E" w:rsidRPr="00110288">
        <w:rPr>
          <w:rFonts w:ascii="Lato" w:hAnsi="Lato"/>
          <w:b/>
          <w:bCs/>
        </w:rPr>
        <w:t>08</w:t>
      </w:r>
      <w:r w:rsidRPr="00110288">
        <w:rPr>
          <w:rFonts w:ascii="Lato" w:hAnsi="Lato"/>
          <w:b/>
          <w:bCs/>
        </w:rPr>
        <w:t>/202</w:t>
      </w:r>
      <w:r w:rsidR="006140B2" w:rsidRPr="00110288">
        <w:rPr>
          <w:rFonts w:ascii="Lato" w:hAnsi="Lato"/>
          <w:b/>
          <w:bCs/>
        </w:rPr>
        <w:t>5</w:t>
      </w:r>
      <w:r w:rsidRPr="00110288">
        <w:rPr>
          <w:rFonts w:ascii="Lato" w:hAnsi="Lato"/>
          <w:b/>
          <w:bCs/>
        </w:rPr>
        <w:t>.</w:t>
      </w:r>
      <w:r w:rsidR="002F5CEE" w:rsidRPr="00110288">
        <w:rPr>
          <w:rFonts w:ascii="Lato" w:hAnsi="Lato"/>
          <w:b/>
          <w:bCs/>
        </w:rPr>
        <w:t xml:space="preserve"> </w:t>
      </w:r>
      <w:bookmarkStart w:id="6" w:name="_Hlk173837662"/>
      <w:r w:rsidR="006B4D6E" w:rsidRPr="00110288">
        <w:rPr>
          <w:rFonts w:ascii="Lato" w:hAnsi="Lato" w:cstheme="minorHAnsi"/>
          <w:b/>
          <w:bCs/>
          <w:bdr w:val="none" w:sz="0" w:space="0" w:color="auto" w:frame="1"/>
        </w:rPr>
        <w:t>Oficio número TES/025/2025, recibido el veintidós de enero de dos mil veinticinco, signado por el Tesorero del Poder Judicial del Estado.</w:t>
      </w:r>
      <w:r w:rsidR="00613D08" w:rsidRPr="00110288">
        <w:rPr>
          <w:rFonts w:ascii="Lato" w:hAnsi="Lato" w:cstheme="minorHAnsi"/>
          <w:b/>
          <w:bCs/>
          <w:bdr w:val="none" w:sz="0" w:space="0" w:color="auto" w:frame="1"/>
        </w:rPr>
        <w:t xml:space="preserve"> - - - - - -  - - - - - - - - - - - - - - - - - - - - - - - - - - - - - - - - - - - - - -</w:t>
      </w:r>
    </w:p>
    <w:p w14:paraId="321C53C0" w14:textId="2C833F19" w:rsidR="006B4D6E" w:rsidRPr="00110288" w:rsidRDefault="006B4D6E" w:rsidP="00CF3870">
      <w:pPr>
        <w:spacing w:line="480" w:lineRule="auto"/>
        <w:ind w:right="-234"/>
        <w:jc w:val="both"/>
        <w:rPr>
          <w:rFonts w:ascii="Lato" w:eastAsia="Batang" w:hAnsi="Lato" w:cstheme="minorHAnsi"/>
        </w:rPr>
      </w:pPr>
      <w:r w:rsidRPr="00110288">
        <w:rPr>
          <w:rFonts w:ascii="Lato" w:hAnsi="Lato" w:cstheme="minorHAnsi"/>
          <w:bCs/>
          <w:bdr w:val="none" w:sz="0" w:space="0" w:color="auto" w:frame="1"/>
        </w:rPr>
        <w:t xml:space="preserve"> </w:t>
      </w:r>
      <w:r w:rsidRPr="00110288">
        <w:rPr>
          <w:rFonts w:ascii="Lato" w:hAnsi="Lato" w:cstheme="minorHAnsi"/>
        </w:rPr>
        <w:t xml:space="preserve">Dada cuenta con el oficio de referencia, </w:t>
      </w:r>
      <w:r w:rsidR="00641EEB" w:rsidRPr="00110288">
        <w:rPr>
          <w:rFonts w:ascii="Lato" w:hAnsi="Lato" w:cstheme="minorHAnsi"/>
        </w:rPr>
        <w:t xml:space="preserve">relativo a </w:t>
      </w:r>
      <w:r w:rsidRPr="00110288">
        <w:rPr>
          <w:rFonts w:ascii="Lato" w:hAnsi="Lato" w:cstheme="minorHAnsi"/>
        </w:rPr>
        <w:t xml:space="preserve">la información financiera y presupuestal de la cuenta pública del Poder Judicial del Estado, correspondiente al </w:t>
      </w:r>
      <w:r w:rsidR="00641EEB" w:rsidRPr="00110288">
        <w:rPr>
          <w:rFonts w:ascii="Lato" w:hAnsi="Lato" w:cstheme="minorHAnsi"/>
        </w:rPr>
        <w:t>cuarto t</w:t>
      </w:r>
      <w:r w:rsidRPr="00110288">
        <w:rPr>
          <w:rFonts w:ascii="Lato" w:hAnsi="Lato" w:cstheme="minorHAnsi"/>
        </w:rPr>
        <w:t xml:space="preserve">rimestre comprendido de los meses de </w:t>
      </w:r>
      <w:r w:rsidR="00641EEB" w:rsidRPr="00110288">
        <w:rPr>
          <w:rFonts w:ascii="Lato" w:hAnsi="Lato" w:cstheme="minorHAnsi"/>
        </w:rPr>
        <w:t xml:space="preserve">octubre, noviembre y diciembre </w:t>
      </w:r>
      <w:r w:rsidRPr="00110288">
        <w:rPr>
          <w:rFonts w:ascii="Lato" w:hAnsi="Lato" w:cstheme="minorHAnsi"/>
        </w:rPr>
        <w:t xml:space="preserve">de dos mil veinticuatro, que presenta el Tesorero del Poder Judicial del Estado; y </w:t>
      </w:r>
      <w:r w:rsidR="00641EEB" w:rsidRPr="00110288">
        <w:rPr>
          <w:rFonts w:ascii="Lato" w:hAnsi="Lato" w:cstheme="minorHAnsi"/>
        </w:rPr>
        <w:t>en este acto se da cuenta con el similar 027/C/2025</w:t>
      </w:r>
      <w:r w:rsidRPr="00110288">
        <w:rPr>
          <w:rFonts w:ascii="Lato" w:hAnsi="Lato" w:cstheme="minorHAnsi"/>
        </w:rPr>
        <w:t>, relativo a las observaciones que presenta el Contralor del Poder Judicial del Estado</w:t>
      </w:r>
      <w:r w:rsidR="00613D08" w:rsidRPr="00110288">
        <w:rPr>
          <w:rFonts w:ascii="Lato" w:hAnsi="Lato" w:cstheme="minorHAnsi"/>
        </w:rPr>
        <w:t>; a</w:t>
      </w:r>
      <w:r w:rsidRPr="00110288">
        <w:rPr>
          <w:rFonts w:ascii="Lato" w:hAnsi="Lato" w:cstheme="minorHAnsi"/>
        </w:rPr>
        <w:t>l respecto, con fundamento en los artículos 54 fracción XVII inciso a), 80 y 85 de la Constitución Política del Estado Libre y Soberano de Tlaxcala</w:t>
      </w:r>
      <w:r w:rsidR="00C5663A" w:rsidRPr="00110288">
        <w:rPr>
          <w:rFonts w:ascii="Lato" w:hAnsi="Lato" w:cstheme="minorHAnsi"/>
        </w:rPr>
        <w:t xml:space="preserve">, en relación con el </w:t>
      </w:r>
      <w:r w:rsidR="003A208B" w:rsidRPr="00110288">
        <w:rPr>
          <w:rFonts w:ascii="Lato" w:hAnsi="Lato"/>
        </w:rPr>
        <w:t>cuarto transitorio del decreto 119,</w:t>
      </w:r>
      <w:r w:rsidR="00757E3B" w:rsidRPr="00110288">
        <w:rPr>
          <w:rFonts w:ascii="Lato" w:hAnsi="Lato"/>
        </w:rPr>
        <w:t xml:space="preserve"> publicado en el Periódico Oficial de diez de diciembre de dos mil veinticuatro</w:t>
      </w:r>
      <w:r w:rsidR="00C5663A" w:rsidRPr="00110288">
        <w:rPr>
          <w:rFonts w:ascii="Lato" w:hAnsi="Lato"/>
        </w:rPr>
        <w:t>;</w:t>
      </w:r>
      <w:r w:rsidR="00757E3B" w:rsidRPr="00110288">
        <w:rPr>
          <w:rFonts w:ascii="Lato" w:hAnsi="Lato"/>
        </w:rPr>
        <w:t xml:space="preserve"> </w:t>
      </w:r>
      <w:r w:rsidR="003A208B" w:rsidRPr="00110288">
        <w:rPr>
          <w:rFonts w:ascii="Lato" w:hAnsi="Lato"/>
        </w:rPr>
        <w:t xml:space="preserve"> </w:t>
      </w:r>
      <w:r w:rsidRPr="00110288">
        <w:rPr>
          <w:rFonts w:ascii="Lato" w:eastAsia="Batang" w:hAnsi="Lato" w:cstheme="minorHAnsi"/>
        </w:rPr>
        <w:t>61, 62, 65 Bis, 69, 77 y 80, fracción II, de la Ley Orgánica del Poder Judicial del Estado; 9, fracción XVII, 31, inciso a), 46, 47, 83, fracción IV y 84 fracción VII, del Reglamento del Consejo de la Judicatura del Estado, se determina:</w:t>
      </w:r>
    </w:p>
    <w:p w14:paraId="03C5BA28" w14:textId="5870A6B4" w:rsidR="006B4D6E" w:rsidRPr="00110288" w:rsidRDefault="006B4D6E" w:rsidP="00F94A22">
      <w:pPr>
        <w:pStyle w:val="Prrafodelista"/>
        <w:numPr>
          <w:ilvl w:val="0"/>
          <w:numId w:val="63"/>
        </w:numPr>
        <w:spacing w:after="120" w:line="480" w:lineRule="auto"/>
        <w:ind w:left="851" w:right="-234"/>
        <w:jc w:val="both"/>
        <w:rPr>
          <w:rFonts w:ascii="Lato" w:eastAsia="Batang" w:hAnsi="Lato" w:cstheme="minorHAnsi"/>
          <w:b/>
          <w:bCs/>
        </w:rPr>
      </w:pPr>
      <w:r w:rsidRPr="00110288">
        <w:rPr>
          <w:rFonts w:ascii="Lato" w:eastAsia="Batang" w:hAnsi="Lato" w:cstheme="minorHAnsi"/>
        </w:rPr>
        <w:t xml:space="preserve">Tomar conocimiento de la información financiera y presupuestal de la cuenta pública del Poder Judicial del Estado, remitida por la Tesorería, correspondiente al </w:t>
      </w:r>
      <w:r w:rsidR="00641EEB" w:rsidRPr="00110288">
        <w:rPr>
          <w:rFonts w:ascii="Lato" w:eastAsia="Batang" w:hAnsi="Lato" w:cstheme="minorHAnsi"/>
        </w:rPr>
        <w:t>cuarto</w:t>
      </w:r>
      <w:r w:rsidRPr="00110288">
        <w:rPr>
          <w:rFonts w:ascii="Lato" w:eastAsia="Batang" w:hAnsi="Lato" w:cstheme="minorHAnsi"/>
        </w:rPr>
        <w:t xml:space="preserve"> trimestre comprendido de los meses de </w:t>
      </w:r>
      <w:r w:rsidR="00641EEB" w:rsidRPr="00110288">
        <w:rPr>
          <w:rFonts w:ascii="Lato" w:eastAsia="Batang" w:hAnsi="Lato" w:cstheme="minorHAnsi"/>
        </w:rPr>
        <w:t xml:space="preserve">octubre, noviembre y diciembre </w:t>
      </w:r>
      <w:r w:rsidRPr="00110288">
        <w:rPr>
          <w:rFonts w:ascii="Lato" w:eastAsia="Batang" w:hAnsi="Lato" w:cstheme="minorHAnsi"/>
        </w:rPr>
        <w:t>de dos mil veinticuatro, consistente en</w:t>
      </w:r>
      <w:r w:rsidR="009F6956" w:rsidRPr="00110288">
        <w:rPr>
          <w:rFonts w:ascii="Lato" w:eastAsia="Batang" w:hAnsi="Lato" w:cstheme="minorHAnsi"/>
        </w:rPr>
        <w:t>:</w:t>
      </w:r>
      <w:r w:rsidRPr="00110288">
        <w:rPr>
          <w:rFonts w:ascii="Lato" w:eastAsia="Batang" w:hAnsi="Lato" w:cstheme="minorHAnsi"/>
        </w:rPr>
        <w:t xml:space="preserve"> balance general (estado de situación financiera), estado de actividades del periodo y acumulado, estado presupuestario de ingresos y egresos del periodo y del acumulado, estado de cambios en la situación financiera, balanza de comprobación, estado de flujo de efectivo y estado de variaciones en la Hacienda Pública/Patrimonio</w:t>
      </w:r>
      <w:r w:rsidR="003A208B" w:rsidRPr="00110288">
        <w:rPr>
          <w:rFonts w:ascii="Lato" w:eastAsia="Batang" w:hAnsi="Lato" w:cstheme="minorHAnsi"/>
        </w:rPr>
        <w:t>.</w:t>
      </w:r>
    </w:p>
    <w:p w14:paraId="6BBB4A94" w14:textId="526BB93E" w:rsidR="006B4D6E" w:rsidRPr="00110288" w:rsidRDefault="006B4D6E" w:rsidP="00F94A22">
      <w:pPr>
        <w:pStyle w:val="Prrafodelista"/>
        <w:numPr>
          <w:ilvl w:val="0"/>
          <w:numId w:val="63"/>
        </w:numPr>
        <w:spacing w:after="120" w:line="480" w:lineRule="auto"/>
        <w:ind w:left="851" w:right="-234"/>
        <w:jc w:val="both"/>
        <w:rPr>
          <w:rFonts w:ascii="Lato" w:eastAsia="Batang" w:hAnsi="Lato" w:cstheme="minorHAnsi"/>
          <w:b/>
          <w:bCs/>
        </w:rPr>
      </w:pPr>
      <w:r w:rsidRPr="00110288">
        <w:rPr>
          <w:rFonts w:ascii="Lato" w:eastAsia="Batang" w:hAnsi="Lato" w:cstheme="minorHAnsi"/>
        </w:rPr>
        <w:lastRenderedPageBreak/>
        <w:t xml:space="preserve">Autorizar la cuenta pública correspondiente al </w:t>
      </w:r>
      <w:r w:rsidR="00641EEB" w:rsidRPr="00110288">
        <w:rPr>
          <w:rFonts w:ascii="Lato" w:eastAsia="Batang" w:hAnsi="Lato" w:cstheme="minorHAnsi"/>
        </w:rPr>
        <w:t>cuarto</w:t>
      </w:r>
      <w:r w:rsidRPr="00110288">
        <w:rPr>
          <w:rFonts w:ascii="Lato" w:eastAsia="Batang" w:hAnsi="Lato" w:cstheme="minorHAnsi"/>
        </w:rPr>
        <w:t xml:space="preserve"> trimestre del ejercicio fiscal 2024, y remitirla al Pleno del Tribunal Superior de Justicia del Estado, para su análisis y aprobación, a fin de dar cumplimiento con lo establecido en el artículo 80 fracción </w:t>
      </w:r>
      <w:r w:rsidR="003A208B" w:rsidRPr="00110288">
        <w:rPr>
          <w:rFonts w:ascii="Lato" w:eastAsia="Batang" w:hAnsi="Lato" w:cstheme="minorHAnsi"/>
        </w:rPr>
        <w:t>VIII</w:t>
      </w:r>
      <w:r w:rsidRPr="00110288">
        <w:rPr>
          <w:rFonts w:ascii="Lato" w:eastAsia="Batang" w:hAnsi="Lato" w:cstheme="minorHAnsi"/>
        </w:rPr>
        <w:t>, de la Constitución Política del Estado Libre y Soberano de Tlaxcala</w:t>
      </w:r>
      <w:r w:rsidR="007135C1" w:rsidRPr="00110288">
        <w:rPr>
          <w:rFonts w:ascii="Lato" w:eastAsia="Batang" w:hAnsi="Lato" w:cstheme="minorHAnsi"/>
        </w:rPr>
        <w:t xml:space="preserve"> vigente.</w:t>
      </w:r>
    </w:p>
    <w:p w14:paraId="0B2912E5" w14:textId="7E15EAC1" w:rsidR="006B4D6E" w:rsidRPr="00110288" w:rsidRDefault="006B4D6E" w:rsidP="00F94A22">
      <w:pPr>
        <w:pStyle w:val="NormalWeb"/>
        <w:numPr>
          <w:ilvl w:val="0"/>
          <w:numId w:val="63"/>
        </w:numPr>
        <w:spacing w:before="0" w:beforeAutospacing="0" w:after="0" w:afterAutospacing="0" w:line="480" w:lineRule="auto"/>
        <w:ind w:left="851" w:right="-234"/>
        <w:jc w:val="both"/>
        <w:rPr>
          <w:rFonts w:ascii="Lato" w:eastAsia="Batang" w:hAnsi="Lato" w:cstheme="minorHAnsi"/>
          <w:sz w:val="22"/>
          <w:szCs w:val="22"/>
        </w:rPr>
      </w:pPr>
      <w:r w:rsidRPr="00110288">
        <w:rPr>
          <w:rFonts w:ascii="Lato" w:eastAsia="Batang" w:hAnsi="Lato" w:cstheme="minorHAnsi"/>
          <w:sz w:val="22"/>
          <w:szCs w:val="22"/>
        </w:rPr>
        <w:t xml:space="preserve">Tomar conocimiento del informe que emite la Contraloría del Poder Judicial del Estado, respecto de las observaciones derivadas de la revisión a la información financiera y presupuestal que integra la cuenta pública; en consecuencia, se instruye al Tesorero del Poder Judicial del Estado, lleve a cabo la </w:t>
      </w:r>
      <w:proofErr w:type="spellStart"/>
      <w:r w:rsidRPr="00110288">
        <w:rPr>
          <w:rFonts w:ascii="Lato" w:eastAsia="Batang" w:hAnsi="Lato" w:cstheme="minorHAnsi"/>
          <w:sz w:val="22"/>
          <w:szCs w:val="22"/>
        </w:rPr>
        <w:t>solventación</w:t>
      </w:r>
      <w:proofErr w:type="spellEnd"/>
      <w:r w:rsidRPr="00110288">
        <w:rPr>
          <w:rFonts w:ascii="Lato" w:eastAsia="Batang" w:hAnsi="Lato" w:cstheme="minorHAnsi"/>
          <w:sz w:val="22"/>
          <w:szCs w:val="22"/>
        </w:rPr>
        <w:t xml:space="preserve"> a las observaciones de cuenta y emita una respuesta, a la Contraloría del Poder Judicial del Estado.</w:t>
      </w:r>
    </w:p>
    <w:p w14:paraId="78A41011" w14:textId="5853BAF3" w:rsidR="006B4D6E" w:rsidRPr="00110288" w:rsidRDefault="006B4D6E" w:rsidP="00CF3870">
      <w:pPr>
        <w:spacing w:line="480" w:lineRule="auto"/>
        <w:ind w:right="-234"/>
        <w:jc w:val="both"/>
        <w:rPr>
          <w:rFonts w:ascii="Lato" w:hAnsi="Lato" w:cstheme="minorHAnsi"/>
          <w:b/>
          <w:bCs/>
          <w:iCs/>
          <w:u w:val="single"/>
        </w:rPr>
      </w:pPr>
      <w:r w:rsidRPr="00110288">
        <w:rPr>
          <w:rFonts w:ascii="Lato" w:eastAsia="Batang" w:hAnsi="Lato" w:cstheme="minorHAnsi"/>
        </w:rPr>
        <w:t>C</w:t>
      </w:r>
      <w:r w:rsidRPr="00110288">
        <w:rPr>
          <w:rFonts w:ascii="Lato" w:hAnsi="Lato" w:cstheme="minorHAnsi"/>
        </w:rPr>
        <w:t xml:space="preserve">omuníquese el presente acuerdo al Tesorero y Contralor del Poder Judicial del Estado, para su conocimiento y efectos legales a que haya lugar, en vía de reiteración a la </w:t>
      </w:r>
      <w:proofErr w:type="gramStart"/>
      <w:r w:rsidRPr="00110288">
        <w:rPr>
          <w:rFonts w:ascii="Lato" w:hAnsi="Lato" w:cstheme="minorHAnsi"/>
        </w:rPr>
        <w:t>Presidenta</w:t>
      </w:r>
      <w:proofErr w:type="gramEnd"/>
      <w:r w:rsidRPr="00110288">
        <w:rPr>
          <w:rFonts w:ascii="Lato" w:hAnsi="Lato" w:cstheme="minorHAnsi"/>
        </w:rPr>
        <w:t xml:space="preserve"> de la Comisión de Administración de este Cuerpo Colegiado.</w:t>
      </w:r>
      <w:r w:rsidR="00613D08" w:rsidRPr="00110288">
        <w:rPr>
          <w:rFonts w:ascii="Lato" w:hAnsi="Lato" w:cstheme="minorHAnsi"/>
        </w:rPr>
        <w:t xml:space="preserve"> </w:t>
      </w:r>
      <w:r w:rsidR="00613D08" w:rsidRPr="00110288">
        <w:rPr>
          <w:rFonts w:ascii="Lato" w:hAnsi="Lato" w:cstheme="minorHAnsi"/>
          <w:b/>
          <w:bCs/>
          <w:u w:val="single"/>
        </w:rPr>
        <w:t>APROBADO POR UNANIMIDAD DE VOTOS.</w:t>
      </w:r>
    </w:p>
    <w:bookmarkEnd w:id="6"/>
    <w:p w14:paraId="3AC59A76" w14:textId="3B376960" w:rsidR="00063B57" w:rsidRPr="00110288" w:rsidRDefault="00613D08" w:rsidP="00CF3870">
      <w:pPr>
        <w:pStyle w:val="NormalWeb"/>
        <w:spacing w:line="480" w:lineRule="auto"/>
        <w:ind w:right="-234" w:firstLine="851"/>
        <w:jc w:val="both"/>
        <w:rPr>
          <w:rFonts w:ascii="Lato" w:hAnsi="Lato" w:cstheme="minorHAnsi"/>
          <w:sz w:val="22"/>
          <w:szCs w:val="22"/>
        </w:rPr>
      </w:pPr>
      <w:r w:rsidRPr="00110288">
        <w:rPr>
          <w:rFonts w:ascii="Lato" w:hAnsi="Lato"/>
          <w:b/>
          <w:bCs/>
          <w:sz w:val="22"/>
          <w:szCs w:val="22"/>
        </w:rPr>
        <w:t xml:space="preserve"> </w:t>
      </w:r>
      <w:bookmarkStart w:id="7" w:name="_Hlk188611259"/>
      <w:r w:rsidR="007B39FC" w:rsidRPr="00110288">
        <w:rPr>
          <w:rFonts w:ascii="Lato" w:hAnsi="Lato"/>
          <w:b/>
          <w:bCs/>
          <w:sz w:val="22"/>
          <w:szCs w:val="22"/>
        </w:rPr>
        <w:t>ACUERDO IV/</w:t>
      </w:r>
      <w:r w:rsidR="00DE2CFA" w:rsidRPr="00110288">
        <w:rPr>
          <w:rFonts w:ascii="Lato" w:hAnsi="Lato"/>
          <w:b/>
          <w:bCs/>
          <w:sz w:val="22"/>
          <w:szCs w:val="22"/>
        </w:rPr>
        <w:t>08</w:t>
      </w:r>
      <w:r w:rsidR="007B39FC" w:rsidRPr="00110288">
        <w:rPr>
          <w:rFonts w:ascii="Lato" w:hAnsi="Lato"/>
          <w:b/>
          <w:bCs/>
          <w:sz w:val="22"/>
          <w:szCs w:val="22"/>
        </w:rPr>
        <w:t>/202</w:t>
      </w:r>
      <w:r w:rsidR="006140B2" w:rsidRPr="00110288">
        <w:rPr>
          <w:rFonts w:ascii="Lato" w:hAnsi="Lato"/>
          <w:b/>
          <w:bCs/>
          <w:sz w:val="22"/>
          <w:szCs w:val="22"/>
        </w:rPr>
        <w:t>5</w:t>
      </w:r>
      <w:r w:rsidR="007B39FC" w:rsidRPr="00110288">
        <w:rPr>
          <w:rFonts w:ascii="Lato" w:hAnsi="Lato"/>
          <w:b/>
          <w:bCs/>
          <w:sz w:val="22"/>
          <w:szCs w:val="22"/>
        </w:rPr>
        <w:t xml:space="preserve">. </w:t>
      </w:r>
      <w:r w:rsidR="00ED185C" w:rsidRPr="00110288">
        <w:rPr>
          <w:rFonts w:ascii="Lato" w:hAnsi="Lato" w:cstheme="minorHAnsi"/>
          <w:b/>
          <w:sz w:val="22"/>
          <w:szCs w:val="22"/>
          <w:bdr w:val="none" w:sz="0" w:space="0" w:color="auto" w:frame="1"/>
        </w:rPr>
        <w:t xml:space="preserve"> </w:t>
      </w:r>
      <w:r w:rsidR="004654A6" w:rsidRPr="00110288">
        <w:rPr>
          <w:rFonts w:ascii="Lato" w:hAnsi="Lato" w:cstheme="minorHAnsi"/>
          <w:b/>
          <w:sz w:val="22"/>
          <w:szCs w:val="22"/>
          <w:bdr w:val="none" w:sz="0" w:space="0" w:color="auto" w:frame="1"/>
        </w:rPr>
        <w:t>O</w:t>
      </w:r>
      <w:r w:rsidR="00DE2CFA" w:rsidRPr="00110288">
        <w:rPr>
          <w:rFonts w:ascii="Lato" w:hAnsi="Lato" w:cstheme="minorHAnsi"/>
          <w:b/>
          <w:sz w:val="22"/>
          <w:szCs w:val="22"/>
          <w:bdr w:val="none" w:sz="0" w:space="0" w:color="auto" w:frame="1"/>
        </w:rPr>
        <w:t>ficio número TES/028/2025, recibido el veintidós de enero de dos mil veinticinco, signado por el Tesorero del Poder Judicial del Estado.</w:t>
      </w:r>
      <w:r w:rsidRPr="00110288">
        <w:rPr>
          <w:rFonts w:ascii="Lato" w:hAnsi="Lato" w:cstheme="minorHAnsi"/>
          <w:b/>
          <w:sz w:val="22"/>
          <w:szCs w:val="22"/>
          <w:bdr w:val="none" w:sz="0" w:space="0" w:color="auto" w:frame="1"/>
        </w:rPr>
        <w:t xml:space="preserve"> - - - - - - - - - - - - - - - - - - - - - - - - - - - - - - - - - - </w:t>
      </w:r>
      <w:r w:rsidR="00212929" w:rsidRPr="00110288">
        <w:rPr>
          <w:rFonts w:ascii="Lato" w:hAnsi="Lato" w:cstheme="minorHAnsi"/>
          <w:b/>
          <w:sz w:val="22"/>
          <w:szCs w:val="22"/>
          <w:bdr w:val="none" w:sz="0" w:space="0" w:color="auto" w:frame="1"/>
        </w:rPr>
        <w:t>- - - - - - - - - -</w:t>
      </w:r>
      <w:r w:rsidR="007C6434" w:rsidRPr="00110288">
        <w:rPr>
          <w:rFonts w:ascii="Lato" w:hAnsi="Lato"/>
          <w:sz w:val="22"/>
          <w:szCs w:val="22"/>
        </w:rPr>
        <w:t xml:space="preserve">Dada cuenta con el oficio mediante el cual, el Tesorero del Poder Judicial solicita </w:t>
      </w:r>
      <w:r w:rsidR="00063B57" w:rsidRPr="00110288">
        <w:rPr>
          <w:rFonts w:ascii="Lato" w:hAnsi="Lato" w:cstheme="minorHAnsi"/>
          <w:sz w:val="22"/>
          <w:szCs w:val="22"/>
        </w:rPr>
        <w:t>se autoricen las cifras de cierre del Ejercicio Fiscal 2024, reconocidas en el Comportamiento Presupuestal de Ingresos y Egresos de forma Consolidada y por Fuente de Financiamiento, en su parte programática, presupuestal, por capítulo, por partida genérica y por partida específica, así como, en su parte financiera.</w:t>
      </w:r>
    </w:p>
    <w:p w14:paraId="69673905" w14:textId="77777777" w:rsidR="00063B57" w:rsidRPr="00110288" w:rsidRDefault="00063B57" w:rsidP="00CF3870">
      <w:pPr>
        <w:ind w:right="-234" w:firstLine="708"/>
        <w:jc w:val="both"/>
        <w:rPr>
          <w:rFonts w:ascii="Lato" w:hAnsi="Lato" w:cstheme="minorHAnsi"/>
          <w:b/>
          <w:bCs/>
        </w:rPr>
      </w:pPr>
      <w:r w:rsidRPr="00110288">
        <w:rPr>
          <w:rFonts w:ascii="Lato" w:hAnsi="Lato" w:cstheme="minorHAnsi"/>
          <w:b/>
          <w:bCs/>
          <w:noProof/>
        </w:rPr>
        <w:drawing>
          <wp:anchor distT="0" distB="0" distL="114300" distR="114300" simplePos="0" relativeHeight="251679744" behindDoc="1" locked="0" layoutInCell="1" allowOverlap="1" wp14:anchorId="3947E90C" wp14:editId="270D0A30">
            <wp:simplePos x="0" y="0"/>
            <wp:positionH relativeFrom="margin">
              <wp:align>left</wp:align>
            </wp:positionH>
            <wp:positionV relativeFrom="paragraph">
              <wp:posOffset>190500</wp:posOffset>
            </wp:positionV>
            <wp:extent cx="4818380" cy="1400175"/>
            <wp:effectExtent l="0" t="0" r="1270" b="0"/>
            <wp:wrapTight wrapText="bothSides">
              <wp:wrapPolygon edited="0">
                <wp:start x="0" y="0"/>
                <wp:lineTo x="0" y="15282"/>
                <wp:lineTo x="2904" y="19102"/>
                <wp:lineTo x="2904" y="20278"/>
                <wp:lineTo x="4611" y="20278"/>
                <wp:lineTo x="20239" y="19396"/>
                <wp:lineTo x="21520" y="19102"/>
                <wp:lineTo x="21520" y="0"/>
                <wp:lineTo x="0" y="0"/>
              </wp:wrapPolygon>
            </wp:wrapTight>
            <wp:docPr id="56856050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27951" cy="1402839"/>
                    </a:xfrm>
                    <a:prstGeom prst="rect">
                      <a:avLst/>
                    </a:prstGeom>
                    <a:noFill/>
                  </pic:spPr>
                </pic:pic>
              </a:graphicData>
            </a:graphic>
            <wp14:sizeRelH relativeFrom="margin">
              <wp14:pctWidth>0</wp14:pctWidth>
            </wp14:sizeRelH>
            <wp14:sizeRelV relativeFrom="margin">
              <wp14:pctHeight>0</wp14:pctHeight>
            </wp14:sizeRelV>
          </wp:anchor>
        </w:drawing>
      </w:r>
      <w:r w:rsidRPr="00110288">
        <w:rPr>
          <w:rFonts w:ascii="Lato" w:hAnsi="Lato" w:cstheme="minorHAnsi"/>
          <w:b/>
          <w:bCs/>
        </w:rPr>
        <w:t>Comportamiento Presupuestal de Ingresos al cierre del Ejercicio 2024:</w:t>
      </w:r>
    </w:p>
    <w:p w14:paraId="3803723F" w14:textId="77777777" w:rsidR="00063B57" w:rsidRPr="00110288" w:rsidRDefault="00063B57" w:rsidP="00CF3870">
      <w:pPr>
        <w:ind w:right="-234" w:firstLine="708"/>
        <w:jc w:val="both"/>
        <w:rPr>
          <w:rFonts w:ascii="Lato" w:hAnsi="Lato" w:cstheme="minorHAnsi"/>
          <w:b/>
          <w:bCs/>
        </w:rPr>
      </w:pPr>
    </w:p>
    <w:p w14:paraId="7742B745" w14:textId="77777777" w:rsidR="00063B57" w:rsidRPr="00110288" w:rsidRDefault="00063B57" w:rsidP="00CF3870">
      <w:pPr>
        <w:ind w:right="-234" w:firstLine="708"/>
        <w:jc w:val="both"/>
        <w:rPr>
          <w:rFonts w:ascii="Lato" w:hAnsi="Lato" w:cstheme="minorHAnsi"/>
          <w:b/>
          <w:bCs/>
        </w:rPr>
      </w:pPr>
    </w:p>
    <w:p w14:paraId="557DD0D8" w14:textId="77777777" w:rsidR="00063B57" w:rsidRPr="00110288" w:rsidRDefault="00063B57" w:rsidP="00CF3870">
      <w:pPr>
        <w:ind w:right="-234" w:firstLine="708"/>
        <w:jc w:val="both"/>
        <w:rPr>
          <w:rFonts w:ascii="Lato" w:hAnsi="Lato" w:cstheme="minorHAnsi"/>
          <w:b/>
          <w:bCs/>
        </w:rPr>
      </w:pPr>
      <w:r w:rsidRPr="00110288">
        <w:rPr>
          <w:rFonts w:ascii="Lato" w:hAnsi="Lato" w:cstheme="minorHAnsi"/>
          <w:b/>
          <w:bCs/>
          <w:noProof/>
        </w:rPr>
        <w:lastRenderedPageBreak/>
        <w:drawing>
          <wp:anchor distT="0" distB="0" distL="114300" distR="114300" simplePos="0" relativeHeight="251677696" behindDoc="1" locked="0" layoutInCell="1" allowOverlap="1" wp14:anchorId="7FFAA008" wp14:editId="32BC654D">
            <wp:simplePos x="0" y="0"/>
            <wp:positionH relativeFrom="margin">
              <wp:posOffset>127635</wp:posOffset>
            </wp:positionH>
            <wp:positionV relativeFrom="paragraph">
              <wp:posOffset>276225</wp:posOffset>
            </wp:positionV>
            <wp:extent cx="4752975" cy="2066290"/>
            <wp:effectExtent l="0" t="0" r="9525" b="0"/>
            <wp:wrapTight wrapText="bothSides">
              <wp:wrapPolygon edited="0">
                <wp:start x="0" y="0"/>
                <wp:lineTo x="0" y="17723"/>
                <wp:lineTo x="2770" y="19317"/>
                <wp:lineTo x="2857" y="20711"/>
                <wp:lineTo x="21297" y="20711"/>
                <wp:lineTo x="21557" y="20312"/>
                <wp:lineTo x="21557" y="16529"/>
                <wp:lineTo x="10822" y="16130"/>
                <wp:lineTo x="21557" y="15135"/>
                <wp:lineTo x="21557" y="13940"/>
                <wp:lineTo x="5108" y="12944"/>
                <wp:lineTo x="21557" y="12745"/>
                <wp:lineTo x="21557" y="0"/>
                <wp:lineTo x="0" y="0"/>
              </wp:wrapPolygon>
            </wp:wrapTight>
            <wp:docPr id="1958264618" name="Imagen 29"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64618" name="Imagen 29" descr="Texto&#10;&#10;Descripción generada automá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2975" cy="2066290"/>
                    </a:xfrm>
                    <a:prstGeom prst="rect">
                      <a:avLst/>
                    </a:prstGeom>
                    <a:noFill/>
                  </pic:spPr>
                </pic:pic>
              </a:graphicData>
            </a:graphic>
            <wp14:sizeRelH relativeFrom="margin">
              <wp14:pctWidth>0</wp14:pctWidth>
            </wp14:sizeRelH>
            <wp14:sizeRelV relativeFrom="margin">
              <wp14:pctHeight>0</wp14:pctHeight>
            </wp14:sizeRelV>
          </wp:anchor>
        </w:drawing>
      </w:r>
      <w:r w:rsidRPr="00110288">
        <w:rPr>
          <w:rFonts w:ascii="Lato" w:hAnsi="Lato" w:cstheme="minorHAnsi"/>
          <w:b/>
          <w:bCs/>
        </w:rPr>
        <w:t>Comportamiento Presupuestal Consolidado al Cierre del Ejercicio 2024:</w:t>
      </w:r>
    </w:p>
    <w:p w14:paraId="56C1D532" w14:textId="77777777" w:rsidR="00063B57" w:rsidRPr="00110288" w:rsidRDefault="00063B57" w:rsidP="00CF3870">
      <w:pPr>
        <w:ind w:right="-234" w:firstLine="708"/>
        <w:jc w:val="both"/>
        <w:rPr>
          <w:rFonts w:ascii="Lato" w:hAnsi="Lato" w:cstheme="minorHAnsi"/>
          <w:b/>
          <w:bCs/>
        </w:rPr>
      </w:pPr>
    </w:p>
    <w:p w14:paraId="1A1D4B19" w14:textId="0086FE90" w:rsidR="00063B57" w:rsidRPr="00110288" w:rsidRDefault="00063B57" w:rsidP="00CF3870">
      <w:pPr>
        <w:spacing w:line="480" w:lineRule="auto"/>
        <w:ind w:right="-234"/>
        <w:jc w:val="both"/>
        <w:rPr>
          <w:rFonts w:ascii="Lato" w:hAnsi="Lato" w:cstheme="minorHAnsi"/>
        </w:rPr>
      </w:pPr>
      <w:r w:rsidRPr="00110288">
        <w:rPr>
          <w:rFonts w:ascii="Lato" w:hAnsi="Lato" w:cstheme="minorHAnsi"/>
        </w:rPr>
        <w:t>Finalmente solicita se reconozcan los Remanentes del ejercicio del Presupuesto de Egresos 2024 del Poder Judicial, de forma Consolidada y por Fuente de Financiamiento, en su parte programática, presupuestal, por capítulo, por partida genérica y por partida específica.</w:t>
      </w:r>
    </w:p>
    <w:p w14:paraId="799153A8" w14:textId="77777777" w:rsidR="00063B57" w:rsidRPr="00110288" w:rsidRDefault="00063B57" w:rsidP="00CF3870">
      <w:pPr>
        <w:ind w:right="-234" w:firstLine="708"/>
        <w:jc w:val="both"/>
        <w:rPr>
          <w:rFonts w:ascii="Lato" w:hAnsi="Lato" w:cstheme="minorHAnsi"/>
          <w:b/>
          <w:bCs/>
        </w:rPr>
      </w:pPr>
      <w:r w:rsidRPr="00110288">
        <w:rPr>
          <w:rFonts w:ascii="Lato" w:hAnsi="Lato" w:cstheme="minorHAnsi"/>
          <w:b/>
          <w:bCs/>
          <w:noProof/>
        </w:rPr>
        <w:drawing>
          <wp:anchor distT="0" distB="0" distL="114300" distR="114300" simplePos="0" relativeHeight="251678720" behindDoc="1" locked="0" layoutInCell="1" allowOverlap="1" wp14:anchorId="6B7FEFD9" wp14:editId="6977E158">
            <wp:simplePos x="0" y="0"/>
            <wp:positionH relativeFrom="margin">
              <wp:posOffset>13970</wp:posOffset>
            </wp:positionH>
            <wp:positionV relativeFrom="paragraph">
              <wp:posOffset>189230</wp:posOffset>
            </wp:positionV>
            <wp:extent cx="5024755" cy="1376045"/>
            <wp:effectExtent l="0" t="0" r="4445" b="0"/>
            <wp:wrapTight wrapText="bothSides">
              <wp:wrapPolygon edited="0">
                <wp:start x="0" y="0"/>
                <wp:lineTo x="0" y="7775"/>
                <wp:lineTo x="10810" y="9868"/>
                <wp:lineTo x="0" y="9868"/>
                <wp:lineTo x="0" y="16148"/>
                <wp:lineTo x="2047" y="19437"/>
                <wp:lineTo x="2948" y="20334"/>
                <wp:lineTo x="10564" y="20932"/>
                <wp:lineTo x="20227" y="20932"/>
                <wp:lineTo x="21537" y="20334"/>
                <wp:lineTo x="21537" y="9868"/>
                <wp:lineTo x="10810" y="9868"/>
                <wp:lineTo x="21537" y="7775"/>
                <wp:lineTo x="21537" y="0"/>
                <wp:lineTo x="0" y="0"/>
              </wp:wrapPolygon>
            </wp:wrapTight>
            <wp:docPr id="82171327" name="Imagen 3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71327" name="Imagen 30" descr="Interfaz de usuario gráfica, Texto&#10;&#10;Descripción generada automá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24755" cy="1376045"/>
                    </a:xfrm>
                    <a:prstGeom prst="rect">
                      <a:avLst/>
                    </a:prstGeom>
                    <a:noFill/>
                  </pic:spPr>
                </pic:pic>
              </a:graphicData>
            </a:graphic>
            <wp14:sizeRelH relativeFrom="margin">
              <wp14:pctWidth>0</wp14:pctWidth>
            </wp14:sizeRelH>
            <wp14:sizeRelV relativeFrom="margin">
              <wp14:pctHeight>0</wp14:pctHeight>
            </wp14:sizeRelV>
          </wp:anchor>
        </w:drawing>
      </w:r>
      <w:r w:rsidRPr="00110288">
        <w:rPr>
          <w:rFonts w:ascii="Lato" w:hAnsi="Lato" w:cstheme="minorHAnsi"/>
          <w:b/>
          <w:bCs/>
        </w:rPr>
        <w:t>Resumen e integración de Remanentes del Ejercicio 2024:</w:t>
      </w:r>
    </w:p>
    <w:p w14:paraId="57435E1F" w14:textId="77777777" w:rsidR="00063B57" w:rsidRPr="00110288" w:rsidRDefault="00063B57" w:rsidP="00CF3870">
      <w:pPr>
        <w:ind w:right="-234" w:firstLine="708"/>
        <w:jc w:val="both"/>
        <w:rPr>
          <w:rFonts w:ascii="Lato" w:hAnsi="Lato" w:cstheme="minorHAnsi"/>
          <w:b/>
          <w:bCs/>
        </w:rPr>
      </w:pPr>
    </w:p>
    <w:p w14:paraId="6FF7756B" w14:textId="210B4C3A" w:rsidR="00063B57" w:rsidRPr="00110288" w:rsidRDefault="00063B57" w:rsidP="00CF3870">
      <w:pPr>
        <w:spacing w:line="480" w:lineRule="auto"/>
        <w:ind w:right="-234"/>
        <w:jc w:val="both"/>
        <w:rPr>
          <w:rFonts w:ascii="Lato" w:hAnsi="Lato" w:cstheme="minorHAnsi"/>
        </w:rPr>
      </w:pPr>
      <w:r w:rsidRPr="00110288">
        <w:rPr>
          <w:rFonts w:ascii="Lato" w:hAnsi="Lato" w:cstheme="minorHAnsi"/>
        </w:rPr>
        <w:t>Precisando que anexa</w:t>
      </w:r>
      <w:r w:rsidR="0026082C" w:rsidRPr="00110288">
        <w:rPr>
          <w:rFonts w:ascii="Lato" w:hAnsi="Lato" w:cstheme="minorHAnsi"/>
        </w:rPr>
        <w:t>,</w:t>
      </w:r>
      <w:r w:rsidRPr="00110288">
        <w:rPr>
          <w:rFonts w:ascii="Lato" w:hAnsi="Lato" w:cstheme="minorHAnsi"/>
        </w:rPr>
        <w:t xml:space="preserve"> </w:t>
      </w:r>
      <w:r w:rsidR="0026082C" w:rsidRPr="00110288">
        <w:rPr>
          <w:rFonts w:ascii="Lato" w:hAnsi="Lato" w:cstheme="minorHAnsi"/>
        </w:rPr>
        <w:t>co</w:t>
      </w:r>
      <w:r w:rsidRPr="00110288">
        <w:rPr>
          <w:rFonts w:ascii="Lato" w:hAnsi="Lato" w:cstheme="minorHAnsi"/>
        </w:rPr>
        <w:t xml:space="preserve">mportamientos </w:t>
      </w:r>
      <w:r w:rsidR="0026082C" w:rsidRPr="00110288">
        <w:rPr>
          <w:rFonts w:ascii="Lato" w:hAnsi="Lato" w:cstheme="minorHAnsi"/>
        </w:rPr>
        <w:t>p</w:t>
      </w:r>
      <w:r w:rsidRPr="00110288">
        <w:rPr>
          <w:rFonts w:ascii="Lato" w:hAnsi="Lato" w:cstheme="minorHAnsi"/>
        </w:rPr>
        <w:t xml:space="preserve">resupuestales y </w:t>
      </w:r>
      <w:r w:rsidR="0026082C" w:rsidRPr="00110288">
        <w:rPr>
          <w:rFonts w:ascii="Lato" w:hAnsi="Lato" w:cstheme="minorHAnsi"/>
        </w:rPr>
        <w:t>b</w:t>
      </w:r>
      <w:r w:rsidRPr="00110288">
        <w:rPr>
          <w:rFonts w:ascii="Lato" w:hAnsi="Lato" w:cstheme="minorHAnsi"/>
        </w:rPr>
        <w:t xml:space="preserve">alanzas de </w:t>
      </w:r>
      <w:r w:rsidR="0026082C" w:rsidRPr="00110288">
        <w:rPr>
          <w:rFonts w:ascii="Lato" w:hAnsi="Lato" w:cstheme="minorHAnsi"/>
        </w:rPr>
        <w:t>c</w:t>
      </w:r>
      <w:r w:rsidRPr="00110288">
        <w:rPr>
          <w:rFonts w:ascii="Lato" w:hAnsi="Lato" w:cstheme="minorHAnsi"/>
        </w:rPr>
        <w:t>omprobación de forma consolidada y por fuente de financiamiento, en donde se da constancia de las modificaciones y cifras de cierre al mes de diciembre y cierre del Ejercicio Fiscal 2024.</w:t>
      </w:r>
    </w:p>
    <w:p w14:paraId="28EB94AB" w14:textId="1B0C5F1B" w:rsidR="00063B57" w:rsidRPr="00110288" w:rsidRDefault="00063B57" w:rsidP="00CF3870">
      <w:pPr>
        <w:spacing w:after="0" w:line="480" w:lineRule="auto"/>
        <w:ind w:right="-234"/>
        <w:jc w:val="both"/>
        <w:rPr>
          <w:rFonts w:ascii="Lato" w:hAnsi="Lato"/>
        </w:rPr>
      </w:pPr>
      <w:r w:rsidRPr="00110288">
        <w:rPr>
          <w:rFonts w:ascii="Lato" w:hAnsi="Lato"/>
        </w:rPr>
        <w:t>Por otra parte, informa que en seguimiento a las instrucciones giradas a esa Tesorería por el Consejo de la Judicatura del Estado</w:t>
      </w:r>
      <w:r w:rsidR="00FD74AF" w:rsidRPr="00110288">
        <w:rPr>
          <w:rFonts w:ascii="Lato" w:hAnsi="Lato"/>
        </w:rPr>
        <w:t>,</w:t>
      </w:r>
      <w:r w:rsidRPr="00110288">
        <w:rPr>
          <w:rFonts w:ascii="Lato" w:hAnsi="Lato"/>
        </w:rPr>
        <w:t xml:space="preserve"> durante el Ejercicio Fiscal 2024, se sugiere destinar los Recursos Financieros resultantes de la ejecución del Presupuesto de Egresos del Poder Judicial, reconocidos como Remanente del Ejercicio 2024 de la Fuente de Financiamiento Recursos Fiscales Estatales, el importe de $10,059,657.56, para el pago del préstamo entre programas realizado en Ejercicios Fiscales anteriores, que se realizó entre las fuentes de financiamiento que a continuación se describen:</w:t>
      </w:r>
    </w:p>
    <w:p w14:paraId="70B33770" w14:textId="77777777" w:rsidR="00063B57" w:rsidRPr="00110288" w:rsidRDefault="00063B57" w:rsidP="00CF3870">
      <w:pPr>
        <w:spacing w:after="0"/>
        <w:ind w:right="-234"/>
        <w:jc w:val="both"/>
        <w:rPr>
          <w:rFonts w:ascii="Lato" w:hAnsi="Lato"/>
          <w:sz w:val="20"/>
          <w:szCs w:val="20"/>
        </w:rPr>
      </w:pPr>
    </w:p>
    <w:p w14:paraId="2662C34B" w14:textId="77777777" w:rsidR="00063B57" w:rsidRPr="00110288" w:rsidRDefault="00063B57" w:rsidP="00CF3870">
      <w:pPr>
        <w:spacing w:after="0"/>
        <w:ind w:right="-234"/>
        <w:jc w:val="both"/>
        <w:rPr>
          <w:rFonts w:ascii="Lato" w:hAnsi="Lato"/>
          <w:sz w:val="20"/>
          <w:szCs w:val="20"/>
        </w:rPr>
      </w:pPr>
      <w:r w:rsidRPr="00110288">
        <w:rPr>
          <w:rFonts w:ascii="Lato" w:hAnsi="Lato"/>
          <w:b/>
          <w:bCs/>
          <w:sz w:val="20"/>
          <w:szCs w:val="20"/>
        </w:rPr>
        <w:lastRenderedPageBreak/>
        <w:t>Acreedor:</w:t>
      </w:r>
      <w:r w:rsidRPr="00110288">
        <w:rPr>
          <w:rFonts w:ascii="Lato" w:hAnsi="Lato"/>
          <w:sz w:val="20"/>
          <w:szCs w:val="20"/>
        </w:rPr>
        <w:t xml:space="preserve"> Fondo Auxiliar</w:t>
      </w:r>
    </w:p>
    <w:p w14:paraId="35EAD49C" w14:textId="77777777" w:rsidR="00063B57" w:rsidRPr="00110288" w:rsidRDefault="00063B57" w:rsidP="00CF3870">
      <w:pPr>
        <w:spacing w:after="0"/>
        <w:ind w:right="-234"/>
        <w:jc w:val="both"/>
        <w:rPr>
          <w:rFonts w:ascii="Lato" w:hAnsi="Lato"/>
          <w:sz w:val="20"/>
          <w:szCs w:val="20"/>
        </w:rPr>
      </w:pPr>
      <w:r w:rsidRPr="00110288">
        <w:rPr>
          <w:rFonts w:ascii="Lato" w:hAnsi="Lato"/>
          <w:b/>
          <w:bCs/>
          <w:sz w:val="20"/>
          <w:szCs w:val="20"/>
        </w:rPr>
        <w:t>Importe:</w:t>
      </w:r>
      <w:r w:rsidRPr="00110288">
        <w:rPr>
          <w:rFonts w:ascii="Lato" w:hAnsi="Lato"/>
          <w:sz w:val="20"/>
          <w:szCs w:val="20"/>
        </w:rPr>
        <w:t xml:space="preserve"> $10,059,657.56</w:t>
      </w:r>
    </w:p>
    <w:p w14:paraId="0CEB3FA3" w14:textId="77777777" w:rsidR="00063B57" w:rsidRPr="00110288" w:rsidRDefault="00063B57" w:rsidP="00CF3870">
      <w:pPr>
        <w:spacing w:after="0"/>
        <w:ind w:right="-234"/>
        <w:jc w:val="both"/>
        <w:rPr>
          <w:rFonts w:ascii="Lato" w:hAnsi="Lato"/>
          <w:sz w:val="20"/>
          <w:szCs w:val="20"/>
        </w:rPr>
      </w:pPr>
    </w:p>
    <w:p w14:paraId="37F51753" w14:textId="77777777" w:rsidR="00063B57" w:rsidRPr="00110288" w:rsidRDefault="00063B57" w:rsidP="00CF3870">
      <w:pPr>
        <w:spacing w:after="0"/>
        <w:ind w:right="-234"/>
        <w:jc w:val="both"/>
        <w:rPr>
          <w:rFonts w:ascii="Lato" w:hAnsi="Lato"/>
          <w:sz w:val="20"/>
          <w:szCs w:val="20"/>
        </w:rPr>
      </w:pPr>
      <w:r w:rsidRPr="00110288">
        <w:rPr>
          <w:rFonts w:ascii="Lato" w:hAnsi="Lato"/>
          <w:b/>
          <w:bCs/>
          <w:sz w:val="20"/>
          <w:szCs w:val="20"/>
        </w:rPr>
        <w:t>Deudor:</w:t>
      </w:r>
      <w:r w:rsidRPr="00110288">
        <w:rPr>
          <w:rFonts w:ascii="Lato" w:hAnsi="Lato"/>
          <w:sz w:val="20"/>
          <w:szCs w:val="20"/>
        </w:rPr>
        <w:t xml:space="preserve"> Recursos Fiscales Estatales</w:t>
      </w:r>
    </w:p>
    <w:p w14:paraId="508C8D17" w14:textId="77777777" w:rsidR="00063B57" w:rsidRPr="00110288" w:rsidRDefault="00063B57" w:rsidP="00CF3870">
      <w:pPr>
        <w:spacing w:after="0"/>
        <w:ind w:right="-234"/>
        <w:jc w:val="both"/>
        <w:rPr>
          <w:rFonts w:ascii="Lato" w:hAnsi="Lato"/>
          <w:sz w:val="20"/>
          <w:szCs w:val="20"/>
        </w:rPr>
      </w:pPr>
      <w:r w:rsidRPr="00110288">
        <w:rPr>
          <w:rFonts w:ascii="Lato" w:hAnsi="Lato"/>
          <w:b/>
          <w:bCs/>
          <w:sz w:val="20"/>
          <w:szCs w:val="20"/>
        </w:rPr>
        <w:t>Importe:</w:t>
      </w:r>
      <w:r w:rsidRPr="00110288">
        <w:rPr>
          <w:rFonts w:ascii="Lato" w:hAnsi="Lato"/>
          <w:sz w:val="20"/>
          <w:szCs w:val="20"/>
        </w:rPr>
        <w:t xml:space="preserve"> $10,059,657.56</w:t>
      </w:r>
    </w:p>
    <w:p w14:paraId="3B0D7F33" w14:textId="77777777" w:rsidR="00063B57" w:rsidRPr="00110288" w:rsidRDefault="00063B57" w:rsidP="00CF3870">
      <w:pPr>
        <w:spacing w:after="0"/>
        <w:ind w:right="-234"/>
        <w:jc w:val="both"/>
        <w:rPr>
          <w:rFonts w:ascii="Lato" w:hAnsi="Lato"/>
        </w:rPr>
      </w:pPr>
    </w:p>
    <w:p w14:paraId="0FD5AB2F" w14:textId="77777777" w:rsidR="00063B57" w:rsidRPr="00110288" w:rsidRDefault="00063B57" w:rsidP="00CF3870">
      <w:pPr>
        <w:spacing w:after="0" w:line="480" w:lineRule="auto"/>
        <w:ind w:right="-234"/>
        <w:jc w:val="both"/>
        <w:rPr>
          <w:rFonts w:ascii="Lato" w:hAnsi="Lato"/>
        </w:rPr>
      </w:pPr>
      <w:r w:rsidRPr="00110288">
        <w:rPr>
          <w:rFonts w:ascii="Lato" w:hAnsi="Lato"/>
        </w:rPr>
        <w:t>El Remanente del Ejercicio Fiscal 2024 de la fuente de financiamiento Recursos Fiscales Estatales es el siguiente:</w:t>
      </w:r>
    </w:p>
    <w:p w14:paraId="1314F3E2" w14:textId="77777777" w:rsidR="00063B57" w:rsidRPr="00110288" w:rsidRDefault="00063B57" w:rsidP="00CF3870">
      <w:pPr>
        <w:spacing w:after="0"/>
        <w:ind w:right="-234"/>
        <w:jc w:val="both"/>
        <w:rPr>
          <w:rFonts w:ascii="Lato" w:hAnsi="Lato"/>
        </w:rPr>
      </w:pPr>
      <w:r w:rsidRPr="00110288">
        <w:rPr>
          <w:noProof/>
        </w:rPr>
        <w:drawing>
          <wp:anchor distT="0" distB="0" distL="114300" distR="114300" simplePos="0" relativeHeight="251676672" behindDoc="1" locked="0" layoutInCell="1" allowOverlap="1" wp14:anchorId="680A454A" wp14:editId="15766D8D">
            <wp:simplePos x="0" y="0"/>
            <wp:positionH relativeFrom="margin">
              <wp:posOffset>49530</wp:posOffset>
            </wp:positionH>
            <wp:positionV relativeFrom="paragraph">
              <wp:posOffset>187325</wp:posOffset>
            </wp:positionV>
            <wp:extent cx="4886325" cy="942340"/>
            <wp:effectExtent l="0" t="0" r="9525" b="0"/>
            <wp:wrapTight wrapText="bothSides">
              <wp:wrapPolygon edited="0">
                <wp:start x="0" y="0"/>
                <wp:lineTo x="0" y="20960"/>
                <wp:lineTo x="21558" y="20960"/>
                <wp:lineTo x="21558" y="0"/>
                <wp:lineTo x="0" y="0"/>
              </wp:wrapPolygon>
            </wp:wrapTight>
            <wp:docPr id="1543159621"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86325" cy="942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DCD55B" w14:textId="77777777" w:rsidR="00063B57" w:rsidRPr="00110288" w:rsidRDefault="00063B57" w:rsidP="00CF3870">
      <w:pPr>
        <w:spacing w:after="0"/>
        <w:ind w:right="-234"/>
        <w:jc w:val="both"/>
        <w:rPr>
          <w:rFonts w:ascii="Lato" w:hAnsi="Lato"/>
        </w:rPr>
      </w:pPr>
    </w:p>
    <w:p w14:paraId="23F1DD00" w14:textId="034D5ECC" w:rsidR="00063B57" w:rsidRPr="00110288" w:rsidRDefault="00063B57" w:rsidP="00CF3870">
      <w:pPr>
        <w:spacing w:after="0" w:line="480" w:lineRule="auto"/>
        <w:ind w:right="-234"/>
        <w:jc w:val="both"/>
        <w:rPr>
          <w:rFonts w:ascii="Lato" w:hAnsi="Lato"/>
        </w:rPr>
      </w:pPr>
      <w:r w:rsidRPr="00110288">
        <w:rPr>
          <w:rFonts w:ascii="Lato" w:hAnsi="Lato"/>
        </w:rPr>
        <w:t>Del que se observa el Remanente Total 2024 de la fuente de financiamiento Recursos Fiscales Estatales es de $27,688,838.18 distribuidos en los distintos Capítulos que integran el Presupuesto de Egresos al Cierre del Ejercicio Fiscal 2024 de este Poder Judicial, por lo que</w:t>
      </w:r>
      <w:r w:rsidR="00FD74AF" w:rsidRPr="00110288">
        <w:rPr>
          <w:rFonts w:ascii="Lato" w:hAnsi="Lato"/>
        </w:rPr>
        <w:t xml:space="preserve">,  se </w:t>
      </w:r>
      <w:r w:rsidRPr="00110288">
        <w:rPr>
          <w:rFonts w:ascii="Lato" w:hAnsi="Lato"/>
        </w:rPr>
        <w:t>sugiere destinar para el pago en cuestión el remanente que se observa en el Capítulo 4000 Transferencias, Asignaciones, Subsidios y Otras Ayudas por el importe total de $10,059,657.56, dejando como Recursos disponibles al inicio del Ejercicio Fiscal 2025 de la Fuente de Financiamiento Recursos Fiscales Estatales el importe total de $17,629,180.62.</w:t>
      </w:r>
    </w:p>
    <w:p w14:paraId="0610415E" w14:textId="77777777" w:rsidR="00CF3870" w:rsidRPr="00110288" w:rsidRDefault="00CF3870" w:rsidP="00CF3870">
      <w:pPr>
        <w:spacing w:after="0" w:line="480" w:lineRule="auto"/>
        <w:ind w:right="-234"/>
        <w:jc w:val="both"/>
        <w:rPr>
          <w:rFonts w:ascii="Lato" w:hAnsi="Lato"/>
        </w:rPr>
      </w:pPr>
    </w:p>
    <w:p w14:paraId="00DB9DC7" w14:textId="370CEDEC" w:rsidR="00063B57" w:rsidRPr="00110288" w:rsidRDefault="00063B57" w:rsidP="00CF3870">
      <w:pPr>
        <w:spacing w:after="0" w:line="480" w:lineRule="auto"/>
        <w:ind w:right="-234"/>
        <w:jc w:val="both"/>
        <w:rPr>
          <w:rFonts w:ascii="Lato" w:hAnsi="Lato"/>
        </w:rPr>
      </w:pPr>
      <w:r w:rsidRPr="00110288">
        <w:rPr>
          <w:rFonts w:ascii="Lato" w:hAnsi="Lato"/>
        </w:rPr>
        <w:t>Por lo anterior</w:t>
      </w:r>
      <w:r w:rsidR="00FD74AF" w:rsidRPr="00110288">
        <w:rPr>
          <w:rFonts w:ascii="Lato" w:hAnsi="Lato"/>
        </w:rPr>
        <w:t xml:space="preserve">, el Tesorero del Poder Judicial, </w:t>
      </w:r>
      <w:r w:rsidRPr="00110288">
        <w:rPr>
          <w:rFonts w:ascii="Lato" w:hAnsi="Lato"/>
        </w:rPr>
        <w:t>solicita se autorice que el importe de $10,059,657.56 reconocido como parte del Remanente Total 2024 de la Fuente de financiamiento Recursos Fiscales Estatales se destine para el pago del préstamo otorgado por el Fondo Auxiliar en Ejercicios Anteriores, mismo que de autorizarse, se debe realizar la afectación financiera, presupuestal y contable en cuentas de resultados de ejercicios anteriores al inicio del Ejercicio Fiscal 2025 dentro del Sistema de Contabilidad Gubernamental SCGIV, una vez que se cuente con la actualización y apertura de dicho sistema por parte del OFS, y se haya Autorizado el Presupuesto de Ingresos y Egresos 2025 de este Poder Judicial así como el destino de los Remanentes 2024 dentro del Presupuesto de Egresos 2025.</w:t>
      </w:r>
    </w:p>
    <w:p w14:paraId="2676E3FA" w14:textId="5B3D7D35" w:rsidR="004361B6" w:rsidRPr="00110288" w:rsidRDefault="004361B6" w:rsidP="00CF3870">
      <w:pPr>
        <w:spacing w:after="0" w:line="480" w:lineRule="auto"/>
        <w:ind w:right="-234"/>
        <w:jc w:val="both"/>
        <w:outlineLvl w:val="0"/>
        <w:rPr>
          <w:rFonts w:ascii="Lato" w:hAnsi="Lato" w:cstheme="minorHAnsi"/>
        </w:rPr>
      </w:pPr>
      <w:r w:rsidRPr="00110288">
        <w:rPr>
          <w:rFonts w:ascii="Lato" w:hAnsi="Lato" w:cstheme="minorHAnsi"/>
        </w:rPr>
        <w:t xml:space="preserve">En atención a lo anterior, </w:t>
      </w:r>
      <w:r w:rsidR="004B558C" w:rsidRPr="00110288">
        <w:rPr>
          <w:rFonts w:ascii="Lato" w:hAnsi="Lato" w:cstheme="minorHAnsi"/>
        </w:rPr>
        <w:t>por</w:t>
      </w:r>
      <w:r w:rsidR="00FD74AF" w:rsidRPr="00110288">
        <w:rPr>
          <w:rFonts w:ascii="Lato" w:hAnsi="Lato" w:cstheme="minorHAnsi"/>
        </w:rPr>
        <w:t xml:space="preserve"> las razones y argumentos jurídico-contables por parte del área de Tesorería del Poder Judicial del Estado, </w:t>
      </w:r>
      <w:r w:rsidRPr="00110288">
        <w:rPr>
          <w:rFonts w:ascii="Lato" w:hAnsi="Lato" w:cstheme="minorHAnsi"/>
        </w:rPr>
        <w:t>con fundamento en los artículos 79, 80 fracción I, 85, de la Constitución Política del Estado</w:t>
      </w:r>
      <w:r w:rsidR="00212929" w:rsidRPr="00110288">
        <w:rPr>
          <w:rFonts w:ascii="Lato" w:hAnsi="Lato" w:cstheme="minorHAnsi"/>
        </w:rPr>
        <w:t xml:space="preserve">, en relación con el </w:t>
      </w:r>
      <w:r w:rsidR="00FD74AF" w:rsidRPr="00110288">
        <w:rPr>
          <w:rFonts w:ascii="Lato" w:hAnsi="Lato"/>
        </w:rPr>
        <w:t xml:space="preserve">cuarto </w:t>
      </w:r>
      <w:r w:rsidR="00FD74AF" w:rsidRPr="00110288">
        <w:rPr>
          <w:rFonts w:ascii="Lato" w:hAnsi="Lato"/>
        </w:rPr>
        <w:lastRenderedPageBreak/>
        <w:t xml:space="preserve">transitorio del decreto 119, publicado en el Periódico Oficial </w:t>
      </w:r>
      <w:r w:rsidR="00212929" w:rsidRPr="00110288">
        <w:rPr>
          <w:rFonts w:ascii="Lato" w:hAnsi="Lato"/>
        </w:rPr>
        <w:t xml:space="preserve">del Gobierno del Estado, </w:t>
      </w:r>
      <w:r w:rsidR="00FD74AF" w:rsidRPr="00110288">
        <w:rPr>
          <w:rFonts w:ascii="Lato" w:hAnsi="Lato"/>
        </w:rPr>
        <w:t xml:space="preserve">de diez de diciembre de dos mil veinticuatro; </w:t>
      </w:r>
      <w:r w:rsidRPr="00110288">
        <w:rPr>
          <w:rFonts w:ascii="Lato" w:hAnsi="Lato" w:cstheme="minorHAnsi"/>
        </w:rPr>
        <w:t>25 fracción X, 61, 69, 77, de la Ley Orgánica del Poder Judicial del Estado; y 9, fracción XVII, del Reglamento del Consejo de la Judicatura del Estado,</w:t>
      </w:r>
      <w:r w:rsidRPr="00110288">
        <w:rPr>
          <w:rFonts w:ascii="Lato" w:eastAsia="Batang" w:hAnsi="Lato" w:cstheme="minorHAnsi"/>
        </w:rPr>
        <w:t xml:space="preserve"> </w:t>
      </w:r>
      <w:r w:rsidRPr="00110288">
        <w:rPr>
          <w:rFonts w:ascii="Lato" w:hAnsi="Lato" w:cstheme="minorHAnsi"/>
        </w:rPr>
        <w:t>en relación con los diversos 271 fracción VI y 301 del Código Financiero para el Estado de Tlaxcala y sus Municipios</w:t>
      </w:r>
      <w:r w:rsidRPr="00110288">
        <w:rPr>
          <w:rFonts w:ascii="Lato" w:eastAsia="Batang" w:hAnsi="Lato" w:cstheme="minorHAnsi"/>
        </w:rPr>
        <w:t>,</w:t>
      </w:r>
      <w:r w:rsidRPr="00110288">
        <w:rPr>
          <w:rFonts w:ascii="Lato" w:hAnsi="Lato" w:cstheme="minorHAnsi"/>
        </w:rPr>
        <w:t xml:space="preserve"> se determina:</w:t>
      </w:r>
    </w:p>
    <w:p w14:paraId="463BAE2C" w14:textId="77777777" w:rsidR="004361B6" w:rsidRPr="00110288" w:rsidRDefault="004361B6" w:rsidP="00CF3870">
      <w:pPr>
        <w:pStyle w:val="Prrafodelista"/>
        <w:numPr>
          <w:ilvl w:val="0"/>
          <w:numId w:val="65"/>
        </w:numPr>
        <w:spacing w:after="0" w:line="480" w:lineRule="auto"/>
        <w:ind w:right="-234"/>
        <w:jc w:val="both"/>
        <w:outlineLvl w:val="0"/>
        <w:rPr>
          <w:rFonts w:ascii="Lato" w:hAnsi="Lato" w:cstheme="minorHAnsi"/>
        </w:rPr>
      </w:pPr>
      <w:r w:rsidRPr="00110288">
        <w:rPr>
          <w:rFonts w:ascii="Lato" w:hAnsi="Lato" w:cstheme="minorHAnsi"/>
        </w:rPr>
        <w:t>Tomar conocimiento del oficio y anexos de cuenta.</w:t>
      </w:r>
    </w:p>
    <w:p w14:paraId="7234EC0A" w14:textId="04CEFC53" w:rsidR="004361B6" w:rsidRPr="00110288" w:rsidRDefault="004361B6" w:rsidP="00CF3870">
      <w:pPr>
        <w:pStyle w:val="Prrafodelista"/>
        <w:numPr>
          <w:ilvl w:val="0"/>
          <w:numId w:val="65"/>
        </w:numPr>
        <w:spacing w:after="0" w:line="480" w:lineRule="auto"/>
        <w:ind w:right="-234"/>
        <w:jc w:val="both"/>
        <w:outlineLvl w:val="0"/>
        <w:rPr>
          <w:rFonts w:ascii="Lato" w:hAnsi="Lato" w:cstheme="minorHAnsi"/>
        </w:rPr>
      </w:pPr>
      <w:r w:rsidRPr="00110288">
        <w:rPr>
          <w:rFonts w:ascii="Lato" w:hAnsi="Lato" w:cstheme="minorHAnsi"/>
        </w:rPr>
        <w:t>Autorizar las cifras de cierre del Ejercicio Fiscal 2024, reconocidas en el Comportamiento Presupuestal de Ingresos y Egresos de forma Consolidada y por Fuente de Financiamiento, en su parte programática, presupuestal, por capítulo, por partida genérica y por partida específica, así como, en su parte financiera.</w:t>
      </w:r>
    </w:p>
    <w:p w14:paraId="73502A39" w14:textId="3A212C08" w:rsidR="004361B6" w:rsidRPr="00110288" w:rsidRDefault="004361B6" w:rsidP="00CF3870">
      <w:pPr>
        <w:pStyle w:val="Prrafodelista"/>
        <w:numPr>
          <w:ilvl w:val="0"/>
          <w:numId w:val="65"/>
        </w:numPr>
        <w:spacing w:after="0" w:line="480" w:lineRule="auto"/>
        <w:ind w:right="-234"/>
        <w:jc w:val="both"/>
        <w:outlineLvl w:val="0"/>
        <w:rPr>
          <w:rFonts w:ascii="Lato" w:hAnsi="Lato" w:cstheme="minorHAnsi"/>
        </w:rPr>
      </w:pPr>
      <w:r w:rsidRPr="00110288">
        <w:rPr>
          <w:rFonts w:ascii="Lato" w:hAnsi="Lato" w:cstheme="minorHAnsi"/>
        </w:rPr>
        <w:t>Autorizar la información integrada por la Tesorería del Poder Judicial del Estado, referente al comportamiento presupuestal de cierre de los ingresos y egresos del presupuesto del Poder Judicial del Estado para el Ejercicio Fiscal 2024, así como los remanentes y cifras de cierre, con las que concluyó el citado ejercicio fiscal.</w:t>
      </w:r>
    </w:p>
    <w:p w14:paraId="6570D0CE" w14:textId="6AAE1BA9" w:rsidR="004361B6" w:rsidRPr="00110288" w:rsidRDefault="004361B6" w:rsidP="00CF3870">
      <w:pPr>
        <w:pStyle w:val="Prrafodelista"/>
        <w:numPr>
          <w:ilvl w:val="0"/>
          <w:numId w:val="65"/>
        </w:numPr>
        <w:spacing w:after="0" w:line="480" w:lineRule="auto"/>
        <w:ind w:right="-234"/>
        <w:jc w:val="both"/>
        <w:rPr>
          <w:rFonts w:ascii="Lato" w:hAnsi="Lato"/>
        </w:rPr>
      </w:pPr>
      <w:r w:rsidRPr="00110288">
        <w:rPr>
          <w:rFonts w:ascii="Lato" w:hAnsi="Lato"/>
        </w:rPr>
        <w:t xml:space="preserve">Autorizar que el importe de $10,059,657.56 reconocido como parte del Remanente Total 2024 de la Fuente de financiamiento Recursos Fiscales Estatales se destine para el pago del préstamo otorgado por el Fondo Auxiliar en Ejercicios Anteriores, instruyendo al Tesorero del Poder Judicial del Estado, realizar la afectación financiera, presupuestal y contable en cuentas de resultados de ejercicios anteriores al inicio del Ejercicio Fiscal 2025 dentro del Sistema de Contabilidad Gubernamental SCGIV, una vez que se cuente con la actualización y apertura de dicho sistema por parte del </w:t>
      </w:r>
      <w:r w:rsidR="002A0030" w:rsidRPr="00110288">
        <w:rPr>
          <w:rFonts w:ascii="Lato" w:hAnsi="Lato"/>
        </w:rPr>
        <w:t xml:space="preserve">Órgano de </w:t>
      </w:r>
      <w:r w:rsidRPr="00110288">
        <w:rPr>
          <w:rFonts w:ascii="Lato" w:hAnsi="Lato"/>
        </w:rPr>
        <w:t>F</w:t>
      </w:r>
      <w:r w:rsidR="002A0030" w:rsidRPr="00110288">
        <w:rPr>
          <w:rFonts w:ascii="Lato" w:hAnsi="Lato"/>
        </w:rPr>
        <w:t xml:space="preserve">iscalización </w:t>
      </w:r>
      <w:r w:rsidRPr="00110288">
        <w:rPr>
          <w:rFonts w:ascii="Lato" w:hAnsi="Lato"/>
        </w:rPr>
        <w:t>S</w:t>
      </w:r>
      <w:r w:rsidR="002A0030" w:rsidRPr="00110288">
        <w:rPr>
          <w:rFonts w:ascii="Lato" w:hAnsi="Lato"/>
        </w:rPr>
        <w:t>uperior</w:t>
      </w:r>
      <w:r w:rsidRPr="00110288">
        <w:rPr>
          <w:rFonts w:ascii="Lato" w:hAnsi="Lato"/>
        </w:rPr>
        <w:t>, y se haya Autorizado el Presupuesto de Ingresos y Egresos 2025 de este Poder Judicial así como el destino de los Remanentes 2024 dentro del Presupuesto de Egresos 2025.</w:t>
      </w:r>
    </w:p>
    <w:p w14:paraId="340751AB" w14:textId="239E6166" w:rsidR="004361B6" w:rsidRPr="00110288" w:rsidRDefault="004361B6" w:rsidP="00CF3870">
      <w:pPr>
        <w:pStyle w:val="NormalWeb"/>
        <w:spacing w:before="0" w:beforeAutospacing="0" w:after="0" w:afterAutospacing="0" w:line="480" w:lineRule="auto"/>
        <w:ind w:right="-234"/>
        <w:jc w:val="both"/>
        <w:rPr>
          <w:rFonts w:ascii="Lato" w:eastAsia="Batang" w:hAnsi="Lato" w:cstheme="minorHAnsi"/>
          <w:b/>
          <w:bCs/>
          <w:sz w:val="22"/>
          <w:szCs w:val="22"/>
          <w:u w:val="single"/>
        </w:rPr>
      </w:pPr>
      <w:r w:rsidRPr="00110288">
        <w:rPr>
          <w:rFonts w:ascii="Lato" w:hAnsi="Lato" w:cstheme="minorHAnsi"/>
          <w:sz w:val="22"/>
          <w:szCs w:val="22"/>
        </w:rPr>
        <w:t>Con la documentación de cuenta, remítase el presente acuerdo al Pleno del Tribunal Superior de Justicia para efecto de su análisis y aprobación</w:t>
      </w:r>
      <w:r w:rsidRPr="00110288">
        <w:rPr>
          <w:rFonts w:ascii="Lato" w:eastAsia="Batang" w:hAnsi="Lato" w:cstheme="minorHAnsi"/>
          <w:sz w:val="22"/>
          <w:szCs w:val="22"/>
        </w:rPr>
        <w:t xml:space="preserve">, por cuanto hace a su </w:t>
      </w:r>
      <w:r w:rsidRPr="00110288">
        <w:rPr>
          <w:rFonts w:ascii="Lato" w:eastAsia="Batang" w:hAnsi="Lato" w:cstheme="minorHAnsi"/>
          <w:sz w:val="22"/>
          <w:szCs w:val="22"/>
        </w:rPr>
        <w:lastRenderedPageBreak/>
        <w:t>competencia; comuníquese al Tesorero del Poder Judicial del Estado, para su seguimiento.</w:t>
      </w:r>
      <w:r w:rsidR="00A92781" w:rsidRPr="00110288">
        <w:rPr>
          <w:rFonts w:ascii="Lato" w:eastAsia="Batang" w:hAnsi="Lato" w:cstheme="minorHAnsi"/>
          <w:sz w:val="22"/>
          <w:szCs w:val="22"/>
        </w:rPr>
        <w:t xml:space="preserve"> </w:t>
      </w:r>
      <w:bookmarkEnd w:id="7"/>
      <w:r w:rsidR="00A92781" w:rsidRPr="00110288">
        <w:rPr>
          <w:rFonts w:ascii="Lato" w:eastAsia="Batang" w:hAnsi="Lato" w:cstheme="minorHAnsi"/>
          <w:b/>
          <w:bCs/>
          <w:sz w:val="22"/>
          <w:szCs w:val="22"/>
          <w:u w:val="single"/>
        </w:rPr>
        <w:t>APROBADO POR UNANIMIDAD DE VOTOS.</w:t>
      </w:r>
    </w:p>
    <w:p w14:paraId="2770202B" w14:textId="358D1F77" w:rsidR="009824BB" w:rsidRPr="00110288" w:rsidRDefault="007B39FC" w:rsidP="00CF3870">
      <w:pPr>
        <w:pStyle w:val="Prrafodelista"/>
        <w:tabs>
          <w:tab w:val="left" w:pos="5387"/>
        </w:tabs>
        <w:spacing w:after="0" w:line="480" w:lineRule="auto"/>
        <w:ind w:left="0" w:right="-234" w:firstLine="851"/>
        <w:jc w:val="both"/>
        <w:rPr>
          <w:rFonts w:ascii="Lato" w:hAnsi="Lato"/>
          <w:b/>
          <w:bCs/>
        </w:rPr>
      </w:pPr>
      <w:r w:rsidRPr="00110288">
        <w:rPr>
          <w:rFonts w:ascii="Lato" w:hAnsi="Lato"/>
          <w:b/>
          <w:bCs/>
        </w:rPr>
        <w:t>ACUERDO V/</w:t>
      </w:r>
      <w:r w:rsidR="00C57F4B" w:rsidRPr="00110288">
        <w:rPr>
          <w:rFonts w:ascii="Lato" w:hAnsi="Lato"/>
          <w:b/>
          <w:bCs/>
        </w:rPr>
        <w:t>08</w:t>
      </w:r>
      <w:r w:rsidRPr="00110288">
        <w:rPr>
          <w:rFonts w:ascii="Lato" w:hAnsi="Lato"/>
          <w:b/>
          <w:bCs/>
        </w:rPr>
        <w:t>/202</w:t>
      </w:r>
      <w:r w:rsidR="006140B2" w:rsidRPr="00110288">
        <w:rPr>
          <w:rFonts w:ascii="Lato" w:hAnsi="Lato"/>
          <w:b/>
          <w:bCs/>
        </w:rPr>
        <w:t>5</w:t>
      </w:r>
      <w:r w:rsidRPr="00110288">
        <w:rPr>
          <w:rFonts w:ascii="Lato" w:hAnsi="Lato"/>
          <w:b/>
          <w:bCs/>
        </w:rPr>
        <w:t xml:space="preserve">.  </w:t>
      </w:r>
      <w:r w:rsidR="00C57F4B" w:rsidRPr="00110288">
        <w:rPr>
          <w:rFonts w:ascii="Lato" w:hAnsi="Lato" w:cstheme="minorHAnsi"/>
          <w:b/>
          <w:bCs/>
          <w:bdr w:val="none" w:sz="0" w:space="0" w:color="auto" w:frame="1"/>
        </w:rPr>
        <w:t>Oficio número TES/038/2025, recibido el veintitrés de enero de dos mil veinti</w:t>
      </w:r>
      <w:r w:rsidR="00FD74AF" w:rsidRPr="00110288">
        <w:rPr>
          <w:rFonts w:ascii="Lato" w:hAnsi="Lato" w:cstheme="minorHAnsi"/>
          <w:b/>
          <w:bCs/>
          <w:bdr w:val="none" w:sz="0" w:space="0" w:color="auto" w:frame="1"/>
        </w:rPr>
        <w:t>cinco</w:t>
      </w:r>
      <w:r w:rsidR="00C57F4B" w:rsidRPr="00110288">
        <w:rPr>
          <w:rFonts w:ascii="Lato" w:hAnsi="Lato" w:cstheme="minorHAnsi"/>
          <w:b/>
          <w:bCs/>
          <w:bdr w:val="none" w:sz="0" w:space="0" w:color="auto" w:frame="1"/>
        </w:rPr>
        <w:t>, signado por el Tesorero del Poder Judicial del Estado.</w:t>
      </w:r>
      <w:r w:rsidR="00A92781" w:rsidRPr="00110288">
        <w:rPr>
          <w:rFonts w:ascii="Lato" w:hAnsi="Lato" w:cstheme="minorHAnsi"/>
          <w:b/>
          <w:bCs/>
          <w:bdr w:val="none" w:sz="0" w:space="0" w:color="auto" w:frame="1"/>
        </w:rPr>
        <w:t xml:space="preserve"> - - - - - - - - - - - - - - - - - - - - - - - - - - - - - - - - - - - - - - - - - - - - -</w:t>
      </w:r>
    </w:p>
    <w:p w14:paraId="0C8DA712" w14:textId="5F0A4A14" w:rsidR="00C57F4B" w:rsidRPr="00110288" w:rsidRDefault="00C57F4B" w:rsidP="00CF3870">
      <w:pPr>
        <w:spacing w:line="480" w:lineRule="auto"/>
        <w:ind w:right="-234"/>
        <w:jc w:val="both"/>
        <w:rPr>
          <w:rFonts w:ascii="Lato" w:hAnsi="Lato" w:cstheme="minorHAnsi"/>
        </w:rPr>
      </w:pPr>
      <w:r w:rsidRPr="00110288">
        <w:rPr>
          <w:rFonts w:ascii="Lato" w:hAnsi="Lato" w:cstheme="minorHAnsi"/>
          <w:bdr w:val="none" w:sz="0" w:space="0" w:color="auto" w:frame="1"/>
        </w:rPr>
        <w:t xml:space="preserve">Dada cuenta con el oficio de referencia, mediante el cual, el </w:t>
      </w:r>
      <w:r w:rsidRPr="00110288">
        <w:rPr>
          <w:rFonts w:ascii="Lato" w:hAnsi="Lato" w:cstheme="minorHAnsi"/>
          <w:bCs/>
          <w:bdr w:val="none" w:sz="0" w:space="0" w:color="auto" w:frame="1"/>
        </w:rPr>
        <w:t xml:space="preserve">Tesorero del Poder  Judicial del Estado, </w:t>
      </w:r>
      <w:r w:rsidRPr="00110288">
        <w:rPr>
          <w:rFonts w:ascii="Lato" w:hAnsi="Lato" w:cstheme="minorHAnsi"/>
          <w:bdr w:val="none" w:sz="0" w:space="0" w:color="auto" w:frame="1"/>
        </w:rPr>
        <w:t xml:space="preserve">presenta </w:t>
      </w:r>
      <w:r w:rsidRPr="00110288">
        <w:rPr>
          <w:rFonts w:ascii="Lato" w:eastAsia="Batang" w:hAnsi="Lato" w:cstheme="minorHAnsi"/>
          <w:bCs/>
        </w:rPr>
        <w:t>el avance al Cuarto Trimestre del Programa Operativo Anual de Recursos Fiscales Estatales, así como del Programa Operativo Anual del Fondo Auxiliar para la Impartición de Justicia, ambos correspondientes al ejercicio dos mil veinticuatro</w:t>
      </w:r>
      <w:r w:rsidR="00A92781" w:rsidRPr="00110288">
        <w:rPr>
          <w:rFonts w:ascii="Lato" w:eastAsia="Batang" w:hAnsi="Lato" w:cstheme="minorHAnsi"/>
          <w:bCs/>
        </w:rPr>
        <w:t>; a</w:t>
      </w:r>
      <w:r w:rsidRPr="00110288">
        <w:rPr>
          <w:rFonts w:ascii="Lato" w:eastAsia="Batang" w:hAnsi="Lato" w:cstheme="minorHAnsi"/>
          <w:bCs/>
        </w:rPr>
        <w:t xml:space="preserve">l respecto, con fundamento en lo que establecen los artículos </w:t>
      </w:r>
      <w:r w:rsidRPr="00110288">
        <w:rPr>
          <w:rFonts w:ascii="Lato" w:hAnsi="Lato" w:cstheme="minorHAnsi"/>
        </w:rPr>
        <w:t xml:space="preserve">80, fracción </w:t>
      </w:r>
      <w:r w:rsidR="00C73591" w:rsidRPr="00110288">
        <w:rPr>
          <w:rFonts w:ascii="Lato" w:hAnsi="Lato" w:cstheme="minorHAnsi"/>
        </w:rPr>
        <w:t>VII</w:t>
      </w:r>
      <w:r w:rsidRPr="00110288">
        <w:rPr>
          <w:rFonts w:ascii="Lato" w:hAnsi="Lato" w:cstheme="minorHAnsi"/>
        </w:rPr>
        <w:t xml:space="preserve">I, 85 de la Constitución Política del Estado Libre y Soberano de Tlaxcala, </w:t>
      </w:r>
      <w:r w:rsidR="00731A9B" w:rsidRPr="00110288">
        <w:rPr>
          <w:rFonts w:ascii="Lato" w:hAnsi="Lato" w:cstheme="minorHAnsi"/>
        </w:rPr>
        <w:t xml:space="preserve">en relación con el </w:t>
      </w:r>
      <w:r w:rsidR="00C73591" w:rsidRPr="00110288">
        <w:rPr>
          <w:rFonts w:ascii="Lato" w:hAnsi="Lato"/>
        </w:rPr>
        <w:t>cuarto transitorio del decreto 119, publicado en el Periódico Oficial de</w:t>
      </w:r>
      <w:r w:rsidR="00212929" w:rsidRPr="00110288">
        <w:rPr>
          <w:rFonts w:ascii="Lato" w:hAnsi="Lato"/>
        </w:rPr>
        <w:t xml:space="preserve">l Gobierno </w:t>
      </w:r>
      <w:r w:rsidR="00E31755" w:rsidRPr="00110288">
        <w:rPr>
          <w:rFonts w:ascii="Lato" w:hAnsi="Lato"/>
        </w:rPr>
        <w:t>del Estado, de</w:t>
      </w:r>
      <w:r w:rsidR="00C73591" w:rsidRPr="00110288">
        <w:rPr>
          <w:rFonts w:ascii="Lato" w:hAnsi="Lato"/>
        </w:rPr>
        <w:t xml:space="preserve"> diez de diciembre de dos mil veinticuatro; </w:t>
      </w:r>
      <w:r w:rsidRPr="00110288">
        <w:rPr>
          <w:rFonts w:ascii="Lato" w:hAnsi="Lato" w:cstheme="minorHAnsi"/>
        </w:rPr>
        <w:t xml:space="preserve">12 Apartado A, numeral V, inciso J), de </w:t>
      </w:r>
      <w:r w:rsidRPr="00110288">
        <w:rPr>
          <w:rFonts w:ascii="Lato" w:hAnsi="Lato"/>
        </w:rPr>
        <w:t>Ley de Fiscalización Superior y Rendición de Cuentas del Estado de Tlaxcala y sus Municipios</w:t>
      </w:r>
      <w:r w:rsidRPr="00110288">
        <w:rPr>
          <w:rFonts w:ascii="Lato" w:hAnsi="Lato" w:cstheme="minorHAnsi"/>
        </w:rPr>
        <w:t>, 61, 101, 101 Bis y 106 fracción III, de la Ley Orgánica del Poder Judicial del Estado, este Órgano Colegiado, determina:</w:t>
      </w:r>
    </w:p>
    <w:p w14:paraId="314F1F54" w14:textId="5808B1A7" w:rsidR="00C57F4B" w:rsidRPr="00110288" w:rsidRDefault="00C57F4B" w:rsidP="00CF3870">
      <w:pPr>
        <w:pStyle w:val="Prrafodelista"/>
        <w:numPr>
          <w:ilvl w:val="0"/>
          <w:numId w:val="67"/>
        </w:numPr>
        <w:spacing w:after="120" w:line="480" w:lineRule="auto"/>
        <w:ind w:right="-234"/>
        <w:jc w:val="both"/>
        <w:rPr>
          <w:rFonts w:ascii="Lato" w:hAnsi="Lato" w:cstheme="minorHAnsi"/>
        </w:rPr>
      </w:pPr>
      <w:r w:rsidRPr="00110288">
        <w:rPr>
          <w:rFonts w:ascii="Lato" w:hAnsi="Lato" w:cstheme="minorHAnsi"/>
        </w:rPr>
        <w:t xml:space="preserve">Respecto al avance del Programa Operativo Anual de Recursos Fiscales Estatales, correspondiente al cuarto trimestre del ejercicio dos mil veinticuatro, este Órgano Colegiado toma conocimiento del mismo, lo hace suyo y </w:t>
      </w:r>
      <w:r w:rsidRPr="00110288">
        <w:rPr>
          <w:rFonts w:ascii="Lato" w:eastAsia="Batang" w:hAnsi="Lato" w:cstheme="minorHAnsi"/>
        </w:rPr>
        <w:t xml:space="preserve">ordena su </w:t>
      </w:r>
      <w:r w:rsidRPr="00110288">
        <w:rPr>
          <w:rFonts w:ascii="Lato" w:hAnsi="Lato" w:cstheme="minorHAnsi"/>
        </w:rPr>
        <w:t>remisión al Pleno del Tribunal Superior de Justicia del Estado, para revisión y aprobación, como parte de la cuenta pública.</w:t>
      </w:r>
    </w:p>
    <w:p w14:paraId="43719F6D" w14:textId="7A4A5564" w:rsidR="00C57F4B" w:rsidRPr="00110288" w:rsidRDefault="00C73591" w:rsidP="00CF3870">
      <w:pPr>
        <w:pStyle w:val="Prrafodelista"/>
        <w:numPr>
          <w:ilvl w:val="0"/>
          <w:numId w:val="67"/>
        </w:numPr>
        <w:spacing w:after="120" w:line="480" w:lineRule="auto"/>
        <w:ind w:right="-234"/>
        <w:jc w:val="both"/>
        <w:rPr>
          <w:rFonts w:ascii="Lato" w:hAnsi="Lato" w:cstheme="minorHAnsi"/>
        </w:rPr>
      </w:pPr>
      <w:r w:rsidRPr="00110288">
        <w:rPr>
          <w:rFonts w:ascii="Lato" w:hAnsi="Lato" w:cstheme="minorHAnsi"/>
        </w:rPr>
        <w:t>En</w:t>
      </w:r>
      <w:r w:rsidR="00C57F4B" w:rsidRPr="00110288">
        <w:rPr>
          <w:rFonts w:ascii="Lato" w:hAnsi="Lato" w:cstheme="minorHAnsi"/>
        </w:rPr>
        <w:t xml:space="preserve"> relación al avance del Programa Operativo Anual del Fondo Auxiliar para la Impartición de Justicia, correspondiente al cuarto trimestre del ejercicio dos mil veinticuatro, se aprueba y a su vez se ordena su remisión al Tesorero del Poder Judicial del Estado, para los efectos legales a que haya lugar.</w:t>
      </w:r>
    </w:p>
    <w:p w14:paraId="78FDDE21" w14:textId="4A3B2D6A" w:rsidR="00C57F4B" w:rsidRPr="00110288" w:rsidRDefault="00C57F4B" w:rsidP="00CF3870">
      <w:pPr>
        <w:tabs>
          <w:tab w:val="center" w:pos="4419"/>
          <w:tab w:val="right" w:pos="9356"/>
        </w:tabs>
        <w:spacing w:after="0" w:line="480" w:lineRule="auto"/>
        <w:ind w:right="-234"/>
        <w:jc w:val="both"/>
        <w:rPr>
          <w:rFonts w:ascii="Lato" w:hAnsi="Lato" w:cstheme="minorHAnsi"/>
          <w:b/>
          <w:bCs/>
          <w:u w:val="single"/>
        </w:rPr>
      </w:pPr>
      <w:r w:rsidRPr="00110288">
        <w:rPr>
          <w:rFonts w:ascii="Lato" w:hAnsi="Lato" w:cstheme="minorHAnsi"/>
        </w:rPr>
        <w:t>Comuníquese esta determinación al Contralor y Tesorero del Poder Judicial para su conocimiento y seguimiento, así como al Pleno del Tribunal Superior de Justicia del Estado, para los efectos legales conducentes.</w:t>
      </w:r>
      <w:r w:rsidR="00A92781" w:rsidRPr="00110288">
        <w:rPr>
          <w:rFonts w:ascii="Lato" w:hAnsi="Lato" w:cstheme="minorHAnsi"/>
        </w:rPr>
        <w:t xml:space="preserve"> </w:t>
      </w:r>
      <w:r w:rsidR="00A92781" w:rsidRPr="00110288">
        <w:rPr>
          <w:rFonts w:ascii="Lato" w:hAnsi="Lato" w:cstheme="minorHAnsi"/>
          <w:b/>
          <w:bCs/>
          <w:u w:val="single"/>
        </w:rPr>
        <w:t>APROBADO POR UNANIMIDAD DE VOTOS.</w:t>
      </w:r>
    </w:p>
    <w:p w14:paraId="3E3F8768" w14:textId="77777777" w:rsidR="00C57F4B" w:rsidRPr="00110288" w:rsidRDefault="00C57F4B" w:rsidP="00CF3870">
      <w:pPr>
        <w:tabs>
          <w:tab w:val="center" w:pos="4419"/>
          <w:tab w:val="right" w:pos="9356"/>
        </w:tabs>
        <w:spacing w:after="0" w:line="240" w:lineRule="auto"/>
        <w:ind w:right="-234"/>
        <w:jc w:val="both"/>
        <w:rPr>
          <w:rFonts w:ascii="Lato" w:hAnsi="Lato" w:cstheme="minorHAnsi"/>
          <w:sz w:val="18"/>
          <w:szCs w:val="18"/>
        </w:rPr>
      </w:pPr>
    </w:p>
    <w:p w14:paraId="731DF7FC" w14:textId="62C1D486" w:rsidR="006046E5" w:rsidRPr="00110288" w:rsidRDefault="00F52F46" w:rsidP="00CF3870">
      <w:pPr>
        <w:tabs>
          <w:tab w:val="left" w:pos="5387"/>
        </w:tabs>
        <w:spacing w:after="0" w:line="480" w:lineRule="auto"/>
        <w:ind w:right="-234" w:firstLine="851"/>
        <w:jc w:val="both"/>
        <w:rPr>
          <w:rFonts w:ascii="Lato" w:hAnsi="Lato" w:cstheme="minorHAnsi"/>
          <w:b/>
          <w:bCs/>
          <w:bdr w:val="none" w:sz="0" w:space="0" w:color="auto" w:frame="1"/>
        </w:rPr>
      </w:pPr>
      <w:bookmarkStart w:id="8" w:name="_Hlk188617935"/>
      <w:r w:rsidRPr="00110288">
        <w:rPr>
          <w:rFonts w:ascii="Lato" w:hAnsi="Lato"/>
          <w:b/>
        </w:rPr>
        <w:t>ACUERDO V</w:t>
      </w:r>
      <w:r w:rsidR="00B95CD2" w:rsidRPr="00110288">
        <w:rPr>
          <w:rFonts w:ascii="Lato" w:hAnsi="Lato"/>
          <w:b/>
        </w:rPr>
        <w:t>I</w:t>
      </w:r>
      <w:r w:rsidRPr="00110288">
        <w:rPr>
          <w:rFonts w:ascii="Lato" w:hAnsi="Lato"/>
          <w:b/>
        </w:rPr>
        <w:t>/</w:t>
      </w:r>
      <w:r w:rsidR="00C57F4B" w:rsidRPr="00110288">
        <w:rPr>
          <w:rFonts w:ascii="Lato" w:hAnsi="Lato"/>
          <w:b/>
        </w:rPr>
        <w:t>08</w:t>
      </w:r>
      <w:r w:rsidRPr="00110288">
        <w:rPr>
          <w:rFonts w:ascii="Lato" w:hAnsi="Lato"/>
          <w:b/>
        </w:rPr>
        <w:t>/202</w:t>
      </w:r>
      <w:r w:rsidR="006140B2" w:rsidRPr="00110288">
        <w:rPr>
          <w:rFonts w:ascii="Lato" w:hAnsi="Lato"/>
          <w:b/>
        </w:rPr>
        <w:t>5</w:t>
      </w:r>
      <w:r w:rsidRPr="00110288">
        <w:rPr>
          <w:rFonts w:ascii="Lato" w:hAnsi="Lato"/>
          <w:b/>
        </w:rPr>
        <w:t xml:space="preserve">. </w:t>
      </w:r>
      <w:r w:rsidR="006046E5" w:rsidRPr="00110288">
        <w:rPr>
          <w:rFonts w:ascii="Lato" w:hAnsi="Lato"/>
          <w:b/>
        </w:rPr>
        <w:t>O</w:t>
      </w:r>
      <w:r w:rsidR="006046E5" w:rsidRPr="00110288">
        <w:rPr>
          <w:rFonts w:ascii="Lato" w:hAnsi="Lato" w:cstheme="minorHAnsi"/>
          <w:b/>
          <w:bCs/>
          <w:bdr w:val="none" w:sz="0" w:space="0" w:color="auto" w:frame="1"/>
        </w:rPr>
        <w:t>ficio número PTSJ/067/2025, recibido el veintitrés de enero de dos mil veinti</w:t>
      </w:r>
      <w:r w:rsidR="001D6DD8" w:rsidRPr="00110288">
        <w:rPr>
          <w:rFonts w:ascii="Lato" w:hAnsi="Lato" w:cstheme="minorHAnsi"/>
          <w:b/>
          <w:bCs/>
          <w:bdr w:val="none" w:sz="0" w:space="0" w:color="auto" w:frame="1"/>
        </w:rPr>
        <w:t>ci</w:t>
      </w:r>
      <w:r w:rsidR="00C73591" w:rsidRPr="00110288">
        <w:rPr>
          <w:rFonts w:ascii="Lato" w:hAnsi="Lato" w:cstheme="minorHAnsi"/>
          <w:b/>
          <w:bCs/>
          <w:bdr w:val="none" w:sz="0" w:space="0" w:color="auto" w:frame="1"/>
        </w:rPr>
        <w:t>nc</w:t>
      </w:r>
      <w:r w:rsidR="006046E5" w:rsidRPr="00110288">
        <w:rPr>
          <w:rFonts w:ascii="Lato" w:hAnsi="Lato" w:cstheme="minorHAnsi"/>
          <w:b/>
          <w:bCs/>
          <w:bdr w:val="none" w:sz="0" w:space="0" w:color="auto" w:frame="1"/>
        </w:rPr>
        <w:t xml:space="preserve">o, signado por la Magistrada </w:t>
      </w:r>
      <w:proofErr w:type="gramStart"/>
      <w:r w:rsidR="006046E5" w:rsidRPr="00110288">
        <w:rPr>
          <w:rFonts w:ascii="Lato" w:hAnsi="Lato" w:cstheme="minorHAnsi"/>
          <w:b/>
          <w:bCs/>
          <w:bdr w:val="none" w:sz="0" w:space="0" w:color="auto" w:frame="1"/>
        </w:rPr>
        <w:t>Presidenta</w:t>
      </w:r>
      <w:proofErr w:type="gramEnd"/>
      <w:r w:rsidR="006046E5" w:rsidRPr="00110288">
        <w:rPr>
          <w:rFonts w:ascii="Lato" w:hAnsi="Lato" w:cstheme="minorHAnsi"/>
          <w:b/>
          <w:bCs/>
          <w:bdr w:val="none" w:sz="0" w:space="0" w:color="auto" w:frame="1"/>
        </w:rPr>
        <w:t xml:space="preserve"> del Tribunal Superior de Justicia y del Consejo de la Judicatura del Estado.</w:t>
      </w:r>
      <w:r w:rsidR="00A92781" w:rsidRPr="00110288">
        <w:rPr>
          <w:rFonts w:ascii="Lato" w:hAnsi="Lato" w:cstheme="minorHAnsi"/>
          <w:b/>
          <w:bCs/>
          <w:bdr w:val="none" w:sz="0" w:space="0" w:color="auto" w:frame="1"/>
        </w:rPr>
        <w:t xml:space="preserve"> - - - - - </w:t>
      </w:r>
    </w:p>
    <w:p w14:paraId="5FBF6965" w14:textId="76E09FA6" w:rsidR="006046E5" w:rsidRPr="00110288" w:rsidRDefault="006046E5" w:rsidP="00CF3870">
      <w:pPr>
        <w:spacing w:after="0" w:line="480" w:lineRule="auto"/>
        <w:ind w:right="-234"/>
        <w:jc w:val="both"/>
        <w:rPr>
          <w:rFonts w:ascii="Lato" w:eastAsia="Batang" w:hAnsi="Lato" w:cstheme="minorHAnsi"/>
        </w:rPr>
      </w:pPr>
      <w:r w:rsidRPr="00110288">
        <w:rPr>
          <w:rFonts w:ascii="Lato" w:hAnsi="Lato" w:cstheme="minorHAnsi"/>
          <w:bCs/>
        </w:rPr>
        <w:t xml:space="preserve">Dada cuenta con el oficio PTSJ/067/2025, de fecha veintitrés de enero de dos mil veinticinco, signado por la Magistrada Presidenta de este Órgano Colegiado, al cual adjunta </w:t>
      </w:r>
      <w:r w:rsidRPr="00110288">
        <w:rPr>
          <w:rFonts w:ascii="Lato" w:eastAsia="Batang" w:hAnsi="Lato" w:cstheme="minorHAnsi"/>
        </w:rPr>
        <w:t xml:space="preserve">la propuesta del Presupuesto de Ingresos y Egresos del Poder Judicial del Estado para el Ejercicio Fiscal 2025 consolidado en su parte </w:t>
      </w:r>
      <w:r w:rsidR="00211D60" w:rsidRPr="00110288">
        <w:rPr>
          <w:rFonts w:ascii="Lato" w:eastAsia="Batang" w:hAnsi="Lato" w:cstheme="minorHAnsi"/>
        </w:rPr>
        <w:t xml:space="preserve">programática de 68 hojas y en la </w:t>
      </w:r>
      <w:r w:rsidRPr="00110288">
        <w:rPr>
          <w:rFonts w:ascii="Lato" w:eastAsia="Batang" w:hAnsi="Lato" w:cstheme="minorHAnsi"/>
        </w:rPr>
        <w:t>presupuestal</w:t>
      </w:r>
      <w:r w:rsidR="00211D60" w:rsidRPr="00110288">
        <w:rPr>
          <w:rFonts w:ascii="Lato" w:eastAsia="Batang" w:hAnsi="Lato" w:cstheme="minorHAnsi"/>
        </w:rPr>
        <w:t xml:space="preserve"> de 462</w:t>
      </w:r>
      <w:r w:rsidR="00A92781" w:rsidRPr="00110288">
        <w:rPr>
          <w:rFonts w:ascii="Lato" w:eastAsia="Batang" w:hAnsi="Lato" w:cstheme="minorHAnsi"/>
        </w:rPr>
        <w:t>; a</w:t>
      </w:r>
      <w:r w:rsidRPr="00110288">
        <w:rPr>
          <w:rFonts w:ascii="Lato" w:hAnsi="Lato" w:cstheme="minorHAnsi"/>
          <w:bCs/>
        </w:rPr>
        <w:t xml:space="preserve">l respecto, con fundamento en los artículos 85, de la Constitución Política del Estado, </w:t>
      </w:r>
      <w:r w:rsidR="00510C5E" w:rsidRPr="00110288">
        <w:rPr>
          <w:rFonts w:ascii="Lato" w:hAnsi="Lato"/>
        </w:rPr>
        <w:t xml:space="preserve">cuarto transitorio del decreto 119, publicado en el Periódico Oficial de diez de diciembre de dos mil veinticuatro; </w:t>
      </w:r>
      <w:r w:rsidRPr="00110288">
        <w:rPr>
          <w:rFonts w:ascii="Lato" w:hAnsi="Lato" w:cstheme="minorHAnsi"/>
          <w:bCs/>
        </w:rPr>
        <w:t>25, fracción X, 61, 77 de la Ley Orgánica del Poder Judicial del Estado, y 9, fracción XVII, del Reglamento del Consejo de la Judicatura, se determina:</w:t>
      </w:r>
    </w:p>
    <w:p w14:paraId="4D3B226E" w14:textId="77777777" w:rsidR="006046E5" w:rsidRPr="00110288" w:rsidRDefault="006046E5" w:rsidP="00CF3870">
      <w:pPr>
        <w:pStyle w:val="Prrafodelista"/>
        <w:numPr>
          <w:ilvl w:val="0"/>
          <w:numId w:val="68"/>
        </w:numPr>
        <w:spacing w:after="0" w:line="480" w:lineRule="auto"/>
        <w:ind w:right="-234"/>
        <w:jc w:val="both"/>
        <w:rPr>
          <w:rFonts w:ascii="Lato" w:hAnsi="Lato" w:cstheme="minorHAnsi"/>
          <w:bCs/>
        </w:rPr>
      </w:pPr>
      <w:r w:rsidRPr="00110288">
        <w:rPr>
          <w:rFonts w:ascii="Lato" w:hAnsi="Lato" w:cstheme="minorHAnsi"/>
          <w:bCs/>
        </w:rPr>
        <w:t>Tomar conocimiento del oficio de cuenta.</w:t>
      </w:r>
    </w:p>
    <w:p w14:paraId="70A4AE86" w14:textId="5E8DBC2F" w:rsidR="006046E5" w:rsidRPr="00110288" w:rsidRDefault="006046E5" w:rsidP="00CF3870">
      <w:pPr>
        <w:pStyle w:val="Prrafodelista"/>
        <w:numPr>
          <w:ilvl w:val="0"/>
          <w:numId w:val="68"/>
        </w:numPr>
        <w:spacing w:after="0" w:line="480" w:lineRule="auto"/>
        <w:ind w:right="-234"/>
        <w:jc w:val="both"/>
        <w:rPr>
          <w:rFonts w:ascii="Lato" w:hAnsi="Lato" w:cstheme="minorHAnsi"/>
          <w:bCs/>
        </w:rPr>
      </w:pPr>
      <w:r w:rsidRPr="00110288">
        <w:rPr>
          <w:rFonts w:ascii="Lato" w:hAnsi="Lato" w:cstheme="minorHAnsi"/>
          <w:bCs/>
        </w:rPr>
        <w:t>A</w:t>
      </w:r>
      <w:r w:rsidR="00E95B3A" w:rsidRPr="00110288">
        <w:rPr>
          <w:rFonts w:ascii="Lato" w:hAnsi="Lato" w:cstheme="minorHAnsi"/>
          <w:bCs/>
        </w:rPr>
        <w:t>utorizar</w:t>
      </w:r>
      <w:r w:rsidRPr="00110288">
        <w:rPr>
          <w:rFonts w:ascii="Lato" w:hAnsi="Lato" w:cstheme="minorHAnsi"/>
          <w:bCs/>
        </w:rPr>
        <w:t xml:space="preserve"> la propuesta de Presupuesto de Ingresos y Egresos del Poder Judicial del Estado para el ejercicio fiscal 202</w:t>
      </w:r>
      <w:r w:rsidR="00510C5E" w:rsidRPr="00110288">
        <w:rPr>
          <w:rFonts w:ascii="Lato" w:hAnsi="Lato" w:cstheme="minorHAnsi"/>
          <w:bCs/>
        </w:rPr>
        <w:t>5</w:t>
      </w:r>
      <w:r w:rsidRPr="00110288">
        <w:rPr>
          <w:rFonts w:ascii="Lato" w:hAnsi="Lato" w:cstheme="minorHAnsi"/>
          <w:bCs/>
        </w:rPr>
        <w:t xml:space="preserve">, en su parte </w:t>
      </w:r>
      <w:r w:rsidR="00211D60" w:rsidRPr="00110288">
        <w:rPr>
          <w:rFonts w:ascii="Lato" w:hAnsi="Lato" w:cstheme="minorHAnsi"/>
          <w:bCs/>
        </w:rPr>
        <w:t xml:space="preserve">programática y </w:t>
      </w:r>
      <w:proofErr w:type="gramStart"/>
      <w:r w:rsidRPr="00110288">
        <w:rPr>
          <w:rFonts w:ascii="Lato" w:hAnsi="Lato" w:cstheme="minorHAnsi"/>
          <w:bCs/>
        </w:rPr>
        <w:t xml:space="preserve">presupuestal </w:t>
      </w:r>
      <w:r w:rsidR="00211D60" w:rsidRPr="00110288">
        <w:rPr>
          <w:rFonts w:ascii="Lato" w:hAnsi="Lato" w:cstheme="minorHAnsi"/>
          <w:bCs/>
        </w:rPr>
        <w:t xml:space="preserve"> </w:t>
      </w:r>
      <w:r w:rsidRPr="00110288">
        <w:rPr>
          <w:rFonts w:ascii="Lato" w:hAnsi="Lato" w:cstheme="minorHAnsi"/>
          <w:bCs/>
        </w:rPr>
        <w:t>contenida</w:t>
      </w:r>
      <w:proofErr w:type="gramEnd"/>
      <w:r w:rsidRPr="00110288">
        <w:rPr>
          <w:rFonts w:ascii="Lato" w:hAnsi="Lato" w:cstheme="minorHAnsi"/>
          <w:bCs/>
        </w:rPr>
        <w:t xml:space="preserve"> en </w:t>
      </w:r>
      <w:r w:rsidR="00211D60" w:rsidRPr="00110288">
        <w:rPr>
          <w:rFonts w:ascii="Lato" w:hAnsi="Lato" w:cstheme="minorHAnsi"/>
          <w:bCs/>
        </w:rPr>
        <w:t xml:space="preserve">530  </w:t>
      </w:r>
      <w:r w:rsidRPr="00110288">
        <w:rPr>
          <w:rFonts w:ascii="Lato" w:hAnsi="Lato" w:cstheme="minorHAnsi"/>
          <w:bCs/>
        </w:rPr>
        <w:t>hojas útiles en su anverso.</w:t>
      </w:r>
    </w:p>
    <w:p w14:paraId="68C3B390" w14:textId="24813E67" w:rsidR="007420CF" w:rsidRPr="00110288" w:rsidRDefault="006046E5" w:rsidP="00CF3870">
      <w:pPr>
        <w:spacing w:after="0" w:line="480" w:lineRule="auto"/>
        <w:ind w:right="-234"/>
        <w:jc w:val="both"/>
        <w:rPr>
          <w:rFonts w:ascii="Lato" w:hAnsi="Lato" w:cstheme="minorHAnsi"/>
          <w:b/>
          <w:u w:val="single"/>
          <w:bdr w:val="none" w:sz="0" w:space="0" w:color="auto" w:frame="1"/>
        </w:rPr>
      </w:pPr>
      <w:r w:rsidRPr="00110288">
        <w:rPr>
          <w:rFonts w:ascii="Lato" w:hAnsi="Lato" w:cstheme="minorHAnsi"/>
          <w:bCs/>
        </w:rPr>
        <w:t xml:space="preserve">Comuníquese esta determinación al Pleno del Tribunal Superior de Justicia del Estado, para efectos de lo establecido en el artículo 25, fracción X, de la Ley Orgánica antes citada, así como al Tesorero y Contralor del Poder Judicial del Estado, para su ejecución y control. </w:t>
      </w:r>
      <w:r w:rsidR="00F52F46" w:rsidRPr="00110288">
        <w:rPr>
          <w:rFonts w:ascii="Lato" w:hAnsi="Lato"/>
          <w:b/>
        </w:rPr>
        <w:t xml:space="preserve"> </w:t>
      </w:r>
      <w:bookmarkEnd w:id="8"/>
      <w:r w:rsidR="00A92781" w:rsidRPr="00110288">
        <w:rPr>
          <w:rFonts w:ascii="Lato" w:hAnsi="Lato" w:cstheme="minorHAnsi"/>
          <w:b/>
          <w:u w:val="single"/>
          <w:bdr w:val="none" w:sz="0" w:space="0" w:color="auto" w:frame="1"/>
        </w:rPr>
        <w:t>APROBADO POR UNANIMIDAD DE VOTOS.</w:t>
      </w:r>
    </w:p>
    <w:p w14:paraId="2BBC43E0" w14:textId="61BA9CCD" w:rsidR="0035000A" w:rsidRPr="00110288" w:rsidRDefault="00A92781" w:rsidP="00CF3870">
      <w:pPr>
        <w:pStyle w:val="NormalWeb"/>
        <w:ind w:right="-234"/>
        <w:jc w:val="both"/>
        <w:rPr>
          <w:rFonts w:ascii="Lato" w:hAnsi="Lato"/>
          <w:b/>
          <w:bCs/>
          <w:sz w:val="22"/>
          <w:szCs w:val="22"/>
        </w:rPr>
      </w:pPr>
      <w:r w:rsidRPr="00110288">
        <w:rPr>
          <w:rFonts w:ascii="Lato" w:hAnsi="Lato"/>
          <w:b/>
          <w:bCs/>
          <w:sz w:val="22"/>
          <w:szCs w:val="22"/>
        </w:rPr>
        <w:t xml:space="preserve"> </w:t>
      </w:r>
    </w:p>
    <w:p w14:paraId="02C13E7A" w14:textId="6BC36117" w:rsidR="00304E99" w:rsidRPr="00110288" w:rsidRDefault="00304E99" w:rsidP="00CF3870">
      <w:pPr>
        <w:pStyle w:val="NormalWeb"/>
        <w:tabs>
          <w:tab w:val="left" w:pos="284"/>
        </w:tabs>
        <w:spacing w:before="0" w:beforeAutospacing="0" w:after="0" w:afterAutospacing="0" w:line="480" w:lineRule="auto"/>
        <w:ind w:right="-234"/>
        <w:jc w:val="both"/>
        <w:rPr>
          <w:rFonts w:ascii="Lato" w:hAnsi="Lato" w:cstheme="minorHAnsi"/>
          <w:sz w:val="22"/>
          <w:szCs w:val="22"/>
        </w:rPr>
      </w:pPr>
      <w:r w:rsidRPr="00110288">
        <w:rPr>
          <w:rFonts w:ascii="Lato" w:hAnsi="Lato" w:cstheme="minorHAnsi"/>
          <w:bCs/>
          <w:sz w:val="22"/>
          <w:szCs w:val="22"/>
        </w:rPr>
        <w:t>Al no haber otro asunto</w:t>
      </w:r>
      <w:r w:rsidRPr="00110288">
        <w:rPr>
          <w:rFonts w:ascii="Lato" w:hAnsi="Lato" w:cstheme="minorHAnsi"/>
          <w:sz w:val="22"/>
          <w:szCs w:val="22"/>
        </w:rPr>
        <w:t xml:space="preserve"> que tratar y siendo las </w:t>
      </w:r>
      <w:r w:rsidR="002A0030" w:rsidRPr="00110288">
        <w:rPr>
          <w:rFonts w:ascii="Lato" w:hAnsi="Lato" w:cstheme="minorHAnsi"/>
          <w:sz w:val="22"/>
          <w:szCs w:val="22"/>
        </w:rPr>
        <w:t xml:space="preserve">diez horas con veinte minutos </w:t>
      </w:r>
      <w:r w:rsidRPr="00110288">
        <w:rPr>
          <w:rFonts w:ascii="Lato" w:hAnsi="Lato" w:cstheme="minorHAnsi"/>
          <w:sz w:val="22"/>
          <w:szCs w:val="22"/>
        </w:rPr>
        <w:t xml:space="preserve">de este día, se declara concluida esta sesión extraordinaria privada del Consejo de la Judicatura del Estado de Tlaxcala, levantándose la presente acta, que firman para constancia los que en ella intervinieron, así como la Licenciada </w:t>
      </w:r>
      <w:proofErr w:type="spellStart"/>
      <w:r w:rsidRPr="00110288">
        <w:rPr>
          <w:rFonts w:ascii="Lato" w:hAnsi="Lato" w:cstheme="minorHAnsi"/>
          <w:sz w:val="22"/>
          <w:szCs w:val="22"/>
        </w:rPr>
        <w:t>Midory</w:t>
      </w:r>
      <w:proofErr w:type="spellEnd"/>
      <w:r w:rsidRPr="00110288">
        <w:rPr>
          <w:rFonts w:ascii="Lato" w:hAnsi="Lato" w:cstheme="minorHAnsi"/>
          <w:sz w:val="22"/>
          <w:szCs w:val="22"/>
        </w:rPr>
        <w:t xml:space="preserve"> Castro Bañuelos, </w:t>
      </w:r>
      <w:proofErr w:type="gramStart"/>
      <w:r w:rsidRPr="00110288">
        <w:rPr>
          <w:rFonts w:ascii="Lato" w:hAnsi="Lato" w:cstheme="minorHAnsi"/>
          <w:sz w:val="22"/>
          <w:szCs w:val="22"/>
        </w:rPr>
        <w:t>Secretaria Ejecutiva</w:t>
      </w:r>
      <w:proofErr w:type="gramEnd"/>
      <w:r w:rsidRPr="00110288">
        <w:rPr>
          <w:rFonts w:ascii="Lato" w:hAnsi="Lato" w:cstheme="minorHAnsi"/>
          <w:sz w:val="22"/>
          <w:szCs w:val="22"/>
        </w:rPr>
        <w:t xml:space="preserve"> del Consejo de la Judicatura, quien da fe. </w:t>
      </w:r>
    </w:p>
    <w:p w14:paraId="4A867C53" w14:textId="77777777" w:rsidR="00304E99" w:rsidRPr="00110288" w:rsidRDefault="00304E99" w:rsidP="00CF3870">
      <w:pPr>
        <w:spacing w:after="0" w:line="480" w:lineRule="auto"/>
        <w:ind w:right="-234"/>
        <w:jc w:val="both"/>
        <w:rPr>
          <w:rFonts w:ascii="Lato" w:hAnsi="Lato"/>
        </w:rPr>
      </w:pPr>
      <w:r w:rsidRPr="00110288">
        <w:rPr>
          <w:rFonts w:ascii="Lato" w:hAnsi="Lato"/>
        </w:rPr>
        <w:t xml:space="preserve">                       </w:t>
      </w:r>
    </w:p>
    <w:p w14:paraId="245C6A3A" w14:textId="77777777" w:rsidR="00304E99" w:rsidRPr="00110288" w:rsidRDefault="00304E99" w:rsidP="00CF3870">
      <w:pPr>
        <w:spacing w:after="0" w:line="480" w:lineRule="auto"/>
        <w:ind w:right="-234"/>
        <w:jc w:val="both"/>
        <w:rPr>
          <w:rFonts w:ascii="Lato" w:hAnsi="Lato"/>
        </w:rPr>
      </w:pPr>
    </w:p>
    <w:p w14:paraId="0863F709" w14:textId="77777777" w:rsidR="00304E99" w:rsidRPr="00110288" w:rsidRDefault="00304E99" w:rsidP="00CF3870">
      <w:pPr>
        <w:spacing w:after="0" w:line="480" w:lineRule="auto"/>
        <w:ind w:right="-234"/>
        <w:jc w:val="both"/>
        <w:rPr>
          <w:rFonts w:ascii="Lato" w:hAnsi="Lato"/>
        </w:rPr>
      </w:pPr>
    </w:p>
    <w:p w14:paraId="1679E742" w14:textId="2F6D7179" w:rsidR="002A0030" w:rsidRPr="00110288" w:rsidRDefault="002A0030" w:rsidP="00CF3870">
      <w:pPr>
        <w:spacing w:after="0" w:line="480" w:lineRule="auto"/>
        <w:ind w:right="-234"/>
        <w:jc w:val="both"/>
        <w:rPr>
          <w:rFonts w:ascii="Lato" w:hAnsi="Lato"/>
          <w:b/>
          <w:bCs/>
        </w:rPr>
      </w:pPr>
      <w:r w:rsidRPr="00110288">
        <w:rPr>
          <w:rFonts w:ascii="Lato" w:hAnsi="Lato"/>
          <w:b/>
          <w:bCs/>
        </w:rPr>
        <w:lastRenderedPageBreak/>
        <w:t xml:space="preserve">CONTINUACIÓN DEL ACTA DE SESIÓN EXTRAORDINARIA PRIVADA DEL CONSEJO DE LA JUDICATURA DEL ESTADO DE TLAXCALA, CELEBRADA A LAS </w:t>
      </w:r>
      <w:r w:rsidRPr="00110288">
        <w:rPr>
          <w:rFonts w:ascii="Lato" w:hAnsi="Lato" w:cstheme="minorHAnsi"/>
          <w:b/>
          <w:bCs/>
        </w:rPr>
        <w:t>NUEVE HORAS DEL VEINTICUATRO DE ENERO DE DOS MIL VEINTICINCO.</w:t>
      </w:r>
    </w:p>
    <w:p w14:paraId="3B183CDC" w14:textId="77777777" w:rsidR="002A0030" w:rsidRPr="00110288" w:rsidRDefault="002A0030" w:rsidP="00CF3870">
      <w:pPr>
        <w:spacing w:after="0" w:line="480" w:lineRule="auto"/>
        <w:ind w:right="-234"/>
        <w:jc w:val="both"/>
        <w:rPr>
          <w:rFonts w:ascii="Lato" w:hAnsi="Lato"/>
        </w:rPr>
      </w:pPr>
    </w:p>
    <w:p w14:paraId="566750AA" w14:textId="77777777" w:rsidR="002A0030" w:rsidRPr="00110288" w:rsidRDefault="002A0030" w:rsidP="00CF3870">
      <w:pPr>
        <w:spacing w:after="0" w:line="480" w:lineRule="auto"/>
        <w:ind w:right="-234"/>
        <w:jc w:val="both"/>
        <w:rPr>
          <w:rFonts w:ascii="Lato" w:hAnsi="Lato"/>
        </w:rPr>
      </w:pPr>
    </w:p>
    <w:p w14:paraId="79278CDE" w14:textId="77777777" w:rsidR="002A0030" w:rsidRPr="00110288" w:rsidRDefault="002A0030" w:rsidP="00CF3870">
      <w:pPr>
        <w:spacing w:after="0" w:line="480" w:lineRule="auto"/>
        <w:ind w:right="-234"/>
        <w:jc w:val="both"/>
        <w:rPr>
          <w:rFonts w:ascii="Lato" w:hAnsi="Lato"/>
        </w:rPr>
      </w:pPr>
    </w:p>
    <w:p w14:paraId="3830D482" w14:textId="77777777" w:rsidR="00F94A22" w:rsidRPr="00110288" w:rsidRDefault="00F94A22" w:rsidP="00CF3870">
      <w:pPr>
        <w:spacing w:after="0" w:line="480" w:lineRule="auto"/>
        <w:ind w:right="-234"/>
        <w:jc w:val="both"/>
        <w:rPr>
          <w:rFonts w:ascii="Lato" w:hAnsi="Lato"/>
        </w:rPr>
      </w:pPr>
    </w:p>
    <w:p w14:paraId="7E08BE13" w14:textId="77777777" w:rsidR="00304E99" w:rsidRPr="00110288" w:rsidRDefault="00304E99" w:rsidP="00CF3870">
      <w:pPr>
        <w:framePr w:hSpace="141" w:wrap="around" w:vAnchor="text" w:hAnchor="margin" w:y="130"/>
        <w:tabs>
          <w:tab w:val="left" w:pos="5387"/>
          <w:tab w:val="left" w:pos="5954"/>
        </w:tabs>
        <w:spacing w:after="0" w:line="240" w:lineRule="auto"/>
        <w:ind w:right="-234"/>
        <w:jc w:val="center"/>
        <w:rPr>
          <w:rFonts w:ascii="Lato" w:hAnsi="Lato" w:cstheme="minorHAnsi"/>
        </w:rPr>
      </w:pPr>
      <w:r w:rsidRPr="00110288">
        <w:rPr>
          <w:rFonts w:ascii="Lato" w:hAnsi="Lato" w:cstheme="minorHAnsi"/>
        </w:rPr>
        <w:t>Magistrada Anel Bañuelos Meneses</w:t>
      </w:r>
    </w:p>
    <w:p w14:paraId="3070ECBE" w14:textId="77777777" w:rsidR="00304E99" w:rsidRPr="00110288" w:rsidRDefault="00304E99" w:rsidP="00CF3870">
      <w:pPr>
        <w:framePr w:hSpace="141" w:wrap="around" w:vAnchor="text" w:hAnchor="margin" w:y="130"/>
        <w:tabs>
          <w:tab w:val="left" w:pos="5387"/>
          <w:tab w:val="left" w:pos="5954"/>
        </w:tabs>
        <w:spacing w:after="0" w:line="240" w:lineRule="auto"/>
        <w:ind w:right="-234"/>
        <w:jc w:val="center"/>
        <w:rPr>
          <w:rFonts w:ascii="Lato" w:hAnsi="Lato" w:cstheme="minorHAnsi"/>
        </w:rPr>
      </w:pPr>
      <w:r w:rsidRPr="00110288">
        <w:rPr>
          <w:rFonts w:ascii="Lato" w:hAnsi="Lato" w:cstheme="minorHAnsi"/>
        </w:rPr>
        <w:t>Presidenta del Tribunal Superior de Justicia</w:t>
      </w:r>
    </w:p>
    <w:p w14:paraId="77370904" w14:textId="77777777" w:rsidR="00304E99" w:rsidRPr="00110288" w:rsidRDefault="00304E99" w:rsidP="00CF3870">
      <w:pPr>
        <w:pStyle w:val="NormalWeb"/>
        <w:tabs>
          <w:tab w:val="left" w:pos="5387"/>
        </w:tabs>
        <w:spacing w:before="0" w:beforeAutospacing="0" w:line="480" w:lineRule="auto"/>
        <w:ind w:right="-234"/>
        <w:jc w:val="center"/>
        <w:rPr>
          <w:rFonts w:ascii="Lato" w:hAnsi="Lato" w:cstheme="minorHAnsi"/>
          <w:sz w:val="22"/>
          <w:szCs w:val="22"/>
        </w:rPr>
      </w:pPr>
      <w:r w:rsidRPr="00110288">
        <w:rPr>
          <w:rFonts w:ascii="Lato" w:hAnsi="Lato" w:cstheme="minorHAnsi"/>
          <w:sz w:val="22"/>
          <w:szCs w:val="22"/>
        </w:rPr>
        <w:t>y del Consejo de la Judicatura del Estado de Tlaxcala</w:t>
      </w:r>
    </w:p>
    <w:p w14:paraId="1561D00C" w14:textId="77777777" w:rsidR="00304E99" w:rsidRPr="00110288" w:rsidRDefault="00304E99" w:rsidP="00CF3870">
      <w:pPr>
        <w:tabs>
          <w:tab w:val="left" w:pos="5387"/>
        </w:tabs>
        <w:spacing w:after="0" w:line="480" w:lineRule="auto"/>
        <w:ind w:right="-234"/>
        <w:jc w:val="both"/>
        <w:rPr>
          <w:rFonts w:ascii="Lato" w:hAnsi="Lato"/>
        </w:rPr>
      </w:pPr>
    </w:p>
    <w:p w14:paraId="64771DEB" w14:textId="77777777" w:rsidR="00304E99" w:rsidRPr="00110288" w:rsidRDefault="00304E99" w:rsidP="00CF3870">
      <w:pPr>
        <w:tabs>
          <w:tab w:val="left" w:pos="5387"/>
        </w:tabs>
        <w:spacing w:after="0" w:line="480" w:lineRule="auto"/>
        <w:ind w:right="-234"/>
        <w:jc w:val="both"/>
        <w:rPr>
          <w:rFonts w:ascii="Lato" w:hAnsi="Lato"/>
        </w:rPr>
      </w:pPr>
    </w:p>
    <w:tbl>
      <w:tblPr>
        <w:tblpPr w:leftFromText="141" w:rightFromText="141" w:vertAnchor="text" w:horzAnchor="margin" w:tblpY="164"/>
        <w:tblW w:w="8359" w:type="dxa"/>
        <w:tblLook w:val="04A0" w:firstRow="1" w:lastRow="0" w:firstColumn="1" w:lastColumn="0" w:noHBand="0" w:noVBand="1"/>
      </w:tblPr>
      <w:tblGrid>
        <w:gridCol w:w="3969"/>
        <w:gridCol w:w="561"/>
        <w:gridCol w:w="3829"/>
      </w:tblGrid>
      <w:tr w:rsidR="00110288" w:rsidRPr="00110288" w14:paraId="79A6DAB9" w14:textId="77777777" w:rsidTr="006022E4">
        <w:trPr>
          <w:trHeight w:val="317"/>
        </w:trPr>
        <w:tc>
          <w:tcPr>
            <w:tcW w:w="3969" w:type="dxa"/>
          </w:tcPr>
          <w:p w14:paraId="48C3BE1A" w14:textId="77777777" w:rsidR="00304E99" w:rsidRPr="00110288" w:rsidRDefault="00304E99" w:rsidP="00CF3870">
            <w:pPr>
              <w:tabs>
                <w:tab w:val="left" w:pos="142"/>
                <w:tab w:val="left" w:pos="5387"/>
                <w:tab w:val="left" w:pos="5954"/>
              </w:tabs>
              <w:spacing w:after="0" w:line="240" w:lineRule="auto"/>
              <w:ind w:right="-234"/>
              <w:jc w:val="center"/>
              <w:rPr>
                <w:rFonts w:ascii="Lato" w:hAnsi="Lato"/>
                <w:b/>
                <w:bCs/>
              </w:rPr>
            </w:pPr>
          </w:p>
          <w:p w14:paraId="1860BD58" w14:textId="77777777" w:rsidR="00304E99" w:rsidRPr="00110288" w:rsidRDefault="00304E99" w:rsidP="00CF3870">
            <w:pPr>
              <w:tabs>
                <w:tab w:val="left" w:pos="142"/>
                <w:tab w:val="left" w:pos="5387"/>
                <w:tab w:val="left" w:pos="5954"/>
              </w:tabs>
              <w:spacing w:after="0" w:line="240" w:lineRule="auto"/>
              <w:ind w:right="-234"/>
              <w:jc w:val="center"/>
              <w:rPr>
                <w:rFonts w:ascii="Lato" w:hAnsi="Lato"/>
                <w:b/>
                <w:bCs/>
              </w:rPr>
            </w:pPr>
          </w:p>
          <w:p w14:paraId="524CA0E6" w14:textId="77777777" w:rsidR="00304E99" w:rsidRPr="00110288" w:rsidRDefault="00304E99" w:rsidP="00CF3870">
            <w:pPr>
              <w:tabs>
                <w:tab w:val="left" w:pos="142"/>
                <w:tab w:val="left" w:pos="5387"/>
                <w:tab w:val="left" w:pos="5954"/>
              </w:tabs>
              <w:spacing w:after="0" w:line="240" w:lineRule="auto"/>
              <w:ind w:right="-234"/>
              <w:jc w:val="center"/>
              <w:rPr>
                <w:rFonts w:ascii="Lato" w:hAnsi="Lato" w:cstheme="minorHAnsi"/>
              </w:rPr>
            </w:pPr>
            <w:r w:rsidRPr="00110288">
              <w:rPr>
                <w:rFonts w:ascii="Lato" w:hAnsi="Lato" w:cstheme="minorHAnsi"/>
              </w:rPr>
              <w:t xml:space="preserve">Mtro. Germán Mendoza </w:t>
            </w:r>
            <w:proofErr w:type="spellStart"/>
            <w:r w:rsidRPr="00110288">
              <w:rPr>
                <w:rFonts w:ascii="Lato" w:hAnsi="Lato" w:cstheme="minorHAnsi"/>
              </w:rPr>
              <w:t>Papalotzi</w:t>
            </w:r>
            <w:proofErr w:type="spellEnd"/>
            <w:r w:rsidRPr="00110288">
              <w:rPr>
                <w:rFonts w:ascii="Lato" w:hAnsi="Lato" w:cstheme="minorHAnsi"/>
              </w:rPr>
              <w:t xml:space="preserve"> </w:t>
            </w:r>
          </w:p>
          <w:p w14:paraId="60C57FC7" w14:textId="77777777" w:rsidR="00304E99" w:rsidRPr="00110288" w:rsidRDefault="00304E99" w:rsidP="00CF3870">
            <w:pPr>
              <w:tabs>
                <w:tab w:val="left" w:pos="142"/>
                <w:tab w:val="left" w:pos="5387"/>
                <w:tab w:val="left" w:pos="5954"/>
              </w:tabs>
              <w:spacing w:after="0" w:line="240" w:lineRule="auto"/>
              <w:ind w:right="-234"/>
              <w:jc w:val="center"/>
              <w:rPr>
                <w:rFonts w:ascii="Lato" w:hAnsi="Lato" w:cstheme="minorHAnsi"/>
              </w:rPr>
            </w:pPr>
            <w:r w:rsidRPr="00110288">
              <w:rPr>
                <w:rFonts w:ascii="Lato" w:hAnsi="Lato" w:cstheme="minorHAnsi"/>
              </w:rPr>
              <w:t>Integrante del Consejo de la Judicatura del Estado de Tlaxcala</w:t>
            </w:r>
          </w:p>
        </w:tc>
        <w:tc>
          <w:tcPr>
            <w:tcW w:w="561" w:type="dxa"/>
          </w:tcPr>
          <w:p w14:paraId="13C3E889" w14:textId="77777777" w:rsidR="00304E99" w:rsidRPr="00110288" w:rsidRDefault="00304E99" w:rsidP="00CF3870">
            <w:pPr>
              <w:tabs>
                <w:tab w:val="left" w:pos="142"/>
                <w:tab w:val="left" w:pos="5387"/>
                <w:tab w:val="left" w:pos="5954"/>
              </w:tabs>
              <w:spacing w:after="0" w:line="240" w:lineRule="auto"/>
              <w:ind w:right="-234"/>
              <w:jc w:val="both"/>
              <w:rPr>
                <w:rFonts w:ascii="Lato" w:hAnsi="Lato" w:cstheme="minorHAnsi"/>
              </w:rPr>
            </w:pPr>
          </w:p>
          <w:p w14:paraId="5DBC912E" w14:textId="77777777" w:rsidR="00304E99" w:rsidRPr="00110288" w:rsidRDefault="00304E99" w:rsidP="00CF3870">
            <w:pPr>
              <w:tabs>
                <w:tab w:val="left" w:pos="142"/>
                <w:tab w:val="left" w:pos="5387"/>
                <w:tab w:val="left" w:pos="5954"/>
              </w:tabs>
              <w:spacing w:after="0" w:line="240" w:lineRule="auto"/>
              <w:ind w:right="-234"/>
              <w:jc w:val="both"/>
              <w:rPr>
                <w:rFonts w:ascii="Lato" w:hAnsi="Lato" w:cstheme="minorHAnsi"/>
              </w:rPr>
            </w:pPr>
          </w:p>
          <w:p w14:paraId="261A8181" w14:textId="77777777" w:rsidR="00304E99" w:rsidRPr="00110288" w:rsidRDefault="00304E99" w:rsidP="00CF3870">
            <w:pPr>
              <w:tabs>
                <w:tab w:val="left" w:pos="142"/>
                <w:tab w:val="left" w:pos="5387"/>
                <w:tab w:val="left" w:pos="5954"/>
              </w:tabs>
              <w:spacing w:after="0" w:line="240" w:lineRule="auto"/>
              <w:ind w:right="-234"/>
              <w:jc w:val="both"/>
              <w:rPr>
                <w:rFonts w:ascii="Lato" w:hAnsi="Lato" w:cstheme="minorHAnsi"/>
              </w:rPr>
            </w:pPr>
          </w:p>
          <w:p w14:paraId="61E70C00" w14:textId="77777777" w:rsidR="00304E99" w:rsidRPr="00110288" w:rsidRDefault="00304E99" w:rsidP="00CF3870">
            <w:pPr>
              <w:tabs>
                <w:tab w:val="left" w:pos="142"/>
                <w:tab w:val="left" w:pos="5387"/>
                <w:tab w:val="left" w:pos="5954"/>
              </w:tabs>
              <w:spacing w:after="0" w:line="240" w:lineRule="auto"/>
              <w:ind w:right="-234"/>
              <w:jc w:val="both"/>
              <w:rPr>
                <w:rFonts w:ascii="Lato" w:hAnsi="Lato" w:cstheme="minorHAnsi"/>
              </w:rPr>
            </w:pPr>
          </w:p>
          <w:p w14:paraId="77C4498B" w14:textId="77777777" w:rsidR="00304E99" w:rsidRPr="00110288" w:rsidRDefault="00304E99" w:rsidP="00CF3870">
            <w:pPr>
              <w:tabs>
                <w:tab w:val="left" w:pos="142"/>
                <w:tab w:val="left" w:pos="5387"/>
                <w:tab w:val="left" w:pos="5954"/>
              </w:tabs>
              <w:spacing w:after="0" w:line="240" w:lineRule="auto"/>
              <w:ind w:right="-234"/>
              <w:jc w:val="both"/>
              <w:rPr>
                <w:rFonts w:ascii="Lato" w:hAnsi="Lato" w:cstheme="minorHAnsi"/>
              </w:rPr>
            </w:pPr>
          </w:p>
          <w:p w14:paraId="404648C4" w14:textId="77777777" w:rsidR="00304E99" w:rsidRPr="00110288" w:rsidRDefault="00304E99" w:rsidP="00CF3870">
            <w:pPr>
              <w:tabs>
                <w:tab w:val="left" w:pos="142"/>
                <w:tab w:val="left" w:pos="5387"/>
                <w:tab w:val="left" w:pos="5954"/>
              </w:tabs>
              <w:spacing w:after="0" w:line="240" w:lineRule="auto"/>
              <w:ind w:right="-234"/>
              <w:jc w:val="both"/>
              <w:rPr>
                <w:rFonts w:ascii="Lato" w:hAnsi="Lato" w:cstheme="minorHAnsi"/>
              </w:rPr>
            </w:pPr>
          </w:p>
          <w:p w14:paraId="63625700" w14:textId="77777777" w:rsidR="00304E99" w:rsidRPr="00110288" w:rsidRDefault="00304E99" w:rsidP="00CF3870">
            <w:pPr>
              <w:tabs>
                <w:tab w:val="left" w:pos="142"/>
                <w:tab w:val="left" w:pos="5387"/>
                <w:tab w:val="left" w:pos="5954"/>
              </w:tabs>
              <w:spacing w:after="0" w:line="240" w:lineRule="auto"/>
              <w:ind w:right="-234"/>
              <w:jc w:val="both"/>
              <w:rPr>
                <w:rFonts w:ascii="Lato" w:hAnsi="Lato" w:cstheme="minorHAnsi"/>
              </w:rPr>
            </w:pPr>
          </w:p>
        </w:tc>
        <w:tc>
          <w:tcPr>
            <w:tcW w:w="3829" w:type="dxa"/>
          </w:tcPr>
          <w:p w14:paraId="4EB085FF" w14:textId="77777777" w:rsidR="00304E99" w:rsidRPr="00110288" w:rsidRDefault="00304E99" w:rsidP="00CF3870">
            <w:pPr>
              <w:tabs>
                <w:tab w:val="left" w:pos="5387"/>
                <w:tab w:val="left" w:pos="5954"/>
              </w:tabs>
              <w:spacing w:after="0" w:line="240" w:lineRule="auto"/>
              <w:ind w:left="-111" w:right="-234"/>
              <w:jc w:val="center"/>
              <w:rPr>
                <w:rFonts w:ascii="Lato" w:hAnsi="Lato" w:cstheme="minorHAnsi"/>
              </w:rPr>
            </w:pPr>
          </w:p>
          <w:p w14:paraId="65117029" w14:textId="77777777" w:rsidR="00304E99" w:rsidRPr="00110288" w:rsidRDefault="00304E99" w:rsidP="00CF3870">
            <w:pPr>
              <w:tabs>
                <w:tab w:val="left" w:pos="5387"/>
                <w:tab w:val="left" w:pos="5954"/>
              </w:tabs>
              <w:spacing w:after="0" w:line="240" w:lineRule="auto"/>
              <w:ind w:left="-111" w:right="-234"/>
              <w:jc w:val="center"/>
              <w:rPr>
                <w:rFonts w:ascii="Lato" w:hAnsi="Lato" w:cstheme="minorHAnsi"/>
              </w:rPr>
            </w:pPr>
          </w:p>
          <w:p w14:paraId="6908BDA4" w14:textId="77777777" w:rsidR="00304E99" w:rsidRPr="00110288" w:rsidRDefault="00304E99" w:rsidP="00CF3870">
            <w:pPr>
              <w:tabs>
                <w:tab w:val="left" w:pos="5387"/>
                <w:tab w:val="left" w:pos="5954"/>
              </w:tabs>
              <w:spacing w:after="0" w:line="240" w:lineRule="auto"/>
              <w:ind w:left="-111" w:right="-234"/>
              <w:jc w:val="center"/>
              <w:rPr>
                <w:rFonts w:ascii="Lato" w:hAnsi="Lato" w:cstheme="minorHAnsi"/>
              </w:rPr>
            </w:pPr>
            <w:r w:rsidRPr="00110288">
              <w:rPr>
                <w:rFonts w:ascii="Lato" w:hAnsi="Lato" w:cstheme="minorHAnsi"/>
              </w:rPr>
              <w:t>Lcda. Violeta Fernández Vázquez</w:t>
            </w:r>
          </w:p>
          <w:p w14:paraId="0F603A3C" w14:textId="77777777" w:rsidR="00304E99" w:rsidRPr="00110288" w:rsidRDefault="00304E99" w:rsidP="00CF3870">
            <w:pPr>
              <w:tabs>
                <w:tab w:val="left" w:pos="5387"/>
                <w:tab w:val="left" w:pos="5954"/>
              </w:tabs>
              <w:spacing w:after="0" w:line="240" w:lineRule="auto"/>
              <w:ind w:left="-111" w:right="-234"/>
              <w:jc w:val="center"/>
              <w:rPr>
                <w:rFonts w:ascii="Lato" w:hAnsi="Lato" w:cstheme="minorHAnsi"/>
              </w:rPr>
            </w:pPr>
            <w:r w:rsidRPr="00110288">
              <w:rPr>
                <w:rFonts w:ascii="Lato" w:hAnsi="Lato" w:cstheme="minorHAnsi"/>
              </w:rPr>
              <w:t>Integrante del Consejo de la Judicatura del Estado de Tlaxcala</w:t>
            </w:r>
          </w:p>
        </w:tc>
      </w:tr>
    </w:tbl>
    <w:p w14:paraId="1121DDA0" w14:textId="77777777" w:rsidR="00304E99" w:rsidRPr="00110288" w:rsidRDefault="00304E99" w:rsidP="00CF3870">
      <w:pPr>
        <w:tabs>
          <w:tab w:val="left" w:pos="5387"/>
        </w:tabs>
        <w:spacing w:after="0" w:line="240" w:lineRule="auto"/>
        <w:ind w:right="-234"/>
        <w:jc w:val="both"/>
        <w:rPr>
          <w:rFonts w:ascii="Lato" w:hAnsi="Lato"/>
        </w:rPr>
      </w:pPr>
    </w:p>
    <w:p w14:paraId="7C0E42BA" w14:textId="14C62C74" w:rsidR="00304E99" w:rsidRPr="00110288" w:rsidRDefault="00304E99" w:rsidP="00CF3870">
      <w:pPr>
        <w:tabs>
          <w:tab w:val="left" w:pos="5387"/>
        </w:tabs>
        <w:spacing w:after="0" w:line="240" w:lineRule="auto"/>
        <w:ind w:right="-234"/>
        <w:jc w:val="both"/>
        <w:rPr>
          <w:rFonts w:ascii="Lato" w:hAnsi="Lato"/>
        </w:rPr>
      </w:pPr>
      <w:r w:rsidRPr="00110288">
        <w:rPr>
          <w:rFonts w:ascii="Lato" w:hAnsi="Lato"/>
          <w:b/>
        </w:rPr>
        <w:t xml:space="preserve"> </w:t>
      </w:r>
    </w:p>
    <w:p w14:paraId="4A22C1CC" w14:textId="77777777" w:rsidR="00304E99" w:rsidRPr="00110288" w:rsidRDefault="00304E99" w:rsidP="00CF3870">
      <w:pPr>
        <w:tabs>
          <w:tab w:val="left" w:pos="5387"/>
        </w:tabs>
        <w:spacing w:after="0" w:line="240" w:lineRule="auto"/>
        <w:ind w:right="-234"/>
        <w:jc w:val="both"/>
        <w:rPr>
          <w:rFonts w:ascii="Lato" w:hAnsi="Lato"/>
        </w:rPr>
      </w:pPr>
    </w:p>
    <w:p w14:paraId="32717C10" w14:textId="77777777" w:rsidR="00304E99" w:rsidRPr="00110288" w:rsidRDefault="00304E99" w:rsidP="00CF3870">
      <w:pPr>
        <w:tabs>
          <w:tab w:val="left" w:pos="5387"/>
        </w:tabs>
        <w:spacing w:after="0" w:line="240" w:lineRule="auto"/>
        <w:ind w:right="-234"/>
        <w:jc w:val="both"/>
        <w:rPr>
          <w:rFonts w:ascii="Lato" w:hAnsi="Lato"/>
        </w:rPr>
      </w:pPr>
    </w:p>
    <w:p w14:paraId="46B13A31" w14:textId="77777777" w:rsidR="00304E99" w:rsidRPr="00110288" w:rsidRDefault="00304E99" w:rsidP="00CF3870">
      <w:pPr>
        <w:tabs>
          <w:tab w:val="left" w:pos="5387"/>
        </w:tabs>
        <w:spacing w:after="0" w:line="240" w:lineRule="auto"/>
        <w:ind w:right="-234"/>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4159"/>
        <w:gridCol w:w="288"/>
        <w:gridCol w:w="4020"/>
      </w:tblGrid>
      <w:tr w:rsidR="00110288" w:rsidRPr="00110288" w14:paraId="1E0F8806" w14:textId="77777777" w:rsidTr="006022E4">
        <w:trPr>
          <w:trHeight w:val="317"/>
        </w:trPr>
        <w:tc>
          <w:tcPr>
            <w:tcW w:w="4106" w:type="dxa"/>
          </w:tcPr>
          <w:p w14:paraId="1812557A" w14:textId="77777777" w:rsidR="00304E99" w:rsidRPr="00110288" w:rsidRDefault="00304E99" w:rsidP="00CF3870">
            <w:pPr>
              <w:tabs>
                <w:tab w:val="left" w:pos="142"/>
                <w:tab w:val="left" w:pos="5387"/>
                <w:tab w:val="left" w:pos="5954"/>
              </w:tabs>
              <w:spacing w:after="0" w:line="240" w:lineRule="auto"/>
              <w:ind w:right="-234"/>
              <w:jc w:val="center"/>
              <w:rPr>
                <w:rFonts w:ascii="Lato" w:hAnsi="Lato" w:cstheme="minorHAnsi"/>
              </w:rPr>
            </w:pPr>
            <w:r w:rsidRPr="00110288">
              <w:rPr>
                <w:rFonts w:ascii="Lato" w:hAnsi="Lato" w:cstheme="minorHAnsi"/>
              </w:rPr>
              <w:t xml:space="preserve">Lcda. Alejandra </w:t>
            </w:r>
            <w:proofErr w:type="spellStart"/>
            <w:r w:rsidRPr="00110288">
              <w:rPr>
                <w:rFonts w:ascii="Lato" w:hAnsi="Lato" w:cstheme="minorHAnsi"/>
              </w:rPr>
              <w:t>Cósetl</w:t>
            </w:r>
            <w:proofErr w:type="spellEnd"/>
            <w:r w:rsidRPr="00110288">
              <w:rPr>
                <w:rFonts w:ascii="Lato" w:hAnsi="Lato" w:cstheme="minorHAnsi"/>
              </w:rPr>
              <w:t xml:space="preserve"> Flores</w:t>
            </w:r>
          </w:p>
          <w:p w14:paraId="1265DD79" w14:textId="77777777" w:rsidR="00304E99" w:rsidRPr="00110288" w:rsidRDefault="00304E99" w:rsidP="00CF3870">
            <w:pPr>
              <w:tabs>
                <w:tab w:val="left" w:pos="142"/>
                <w:tab w:val="left" w:pos="5387"/>
                <w:tab w:val="left" w:pos="5954"/>
              </w:tabs>
              <w:spacing w:after="0" w:line="240" w:lineRule="auto"/>
              <w:ind w:right="-234"/>
              <w:jc w:val="center"/>
              <w:rPr>
                <w:rFonts w:ascii="Lato" w:hAnsi="Lato" w:cstheme="minorHAnsi"/>
              </w:rPr>
            </w:pPr>
            <w:r w:rsidRPr="00110288">
              <w:rPr>
                <w:rFonts w:ascii="Lato" w:hAnsi="Lato" w:cstheme="minorHAnsi"/>
              </w:rPr>
              <w:t>Integrante del Consejo de la Judicatura del Estado de Tlaxcala</w:t>
            </w:r>
          </w:p>
        </w:tc>
        <w:tc>
          <w:tcPr>
            <w:tcW w:w="284" w:type="dxa"/>
          </w:tcPr>
          <w:p w14:paraId="68EE2E9D" w14:textId="77777777" w:rsidR="00304E99" w:rsidRPr="00110288" w:rsidRDefault="00304E99" w:rsidP="00CF3870">
            <w:pPr>
              <w:tabs>
                <w:tab w:val="left" w:pos="142"/>
                <w:tab w:val="left" w:pos="5387"/>
                <w:tab w:val="left" w:pos="5954"/>
              </w:tabs>
              <w:spacing w:after="0" w:line="240" w:lineRule="auto"/>
              <w:ind w:right="-234"/>
              <w:jc w:val="both"/>
              <w:rPr>
                <w:rFonts w:ascii="Lato" w:hAnsi="Lato" w:cstheme="minorHAnsi"/>
              </w:rPr>
            </w:pPr>
          </w:p>
        </w:tc>
        <w:tc>
          <w:tcPr>
            <w:tcW w:w="3969" w:type="dxa"/>
          </w:tcPr>
          <w:p w14:paraId="147F3E11" w14:textId="77777777" w:rsidR="00304E99" w:rsidRPr="00110288" w:rsidRDefault="00304E99" w:rsidP="00CF3870">
            <w:pPr>
              <w:tabs>
                <w:tab w:val="left" w:pos="-107"/>
                <w:tab w:val="left" w:pos="5387"/>
                <w:tab w:val="left" w:pos="5954"/>
              </w:tabs>
              <w:spacing w:after="0" w:line="240" w:lineRule="auto"/>
              <w:ind w:left="-107" w:right="-234"/>
              <w:jc w:val="center"/>
              <w:rPr>
                <w:rFonts w:ascii="Lato" w:hAnsi="Lato" w:cstheme="minorHAnsi"/>
              </w:rPr>
            </w:pPr>
            <w:r w:rsidRPr="00110288">
              <w:rPr>
                <w:rFonts w:ascii="Lato" w:hAnsi="Lato" w:cstheme="minorHAnsi"/>
              </w:rPr>
              <w:t>Lcdo. Miguel Sánchez Ramírez</w:t>
            </w:r>
          </w:p>
          <w:p w14:paraId="707CBD68" w14:textId="77777777" w:rsidR="00304E99" w:rsidRPr="00110288" w:rsidRDefault="00304E99" w:rsidP="00CF3870">
            <w:pPr>
              <w:tabs>
                <w:tab w:val="left" w:pos="-107"/>
                <w:tab w:val="left" w:pos="5387"/>
                <w:tab w:val="left" w:pos="5954"/>
              </w:tabs>
              <w:spacing w:after="0" w:line="240" w:lineRule="auto"/>
              <w:ind w:left="-107" w:right="-234"/>
              <w:jc w:val="center"/>
              <w:rPr>
                <w:rFonts w:ascii="Lato" w:hAnsi="Lato" w:cstheme="minorHAnsi"/>
              </w:rPr>
            </w:pPr>
            <w:r w:rsidRPr="00110288">
              <w:rPr>
                <w:rFonts w:ascii="Lato" w:hAnsi="Lato" w:cstheme="minorHAnsi"/>
              </w:rPr>
              <w:t>Integrante del Consejo de la Judicatura del Estado de Tlaxcala</w:t>
            </w:r>
          </w:p>
          <w:p w14:paraId="7C7B3790" w14:textId="77777777" w:rsidR="00304E99" w:rsidRPr="00110288" w:rsidRDefault="00304E99" w:rsidP="00CF3870">
            <w:pPr>
              <w:tabs>
                <w:tab w:val="left" w:pos="142"/>
                <w:tab w:val="left" w:pos="5387"/>
                <w:tab w:val="left" w:pos="5954"/>
              </w:tabs>
              <w:spacing w:after="0" w:line="240" w:lineRule="auto"/>
              <w:ind w:right="-234"/>
              <w:jc w:val="center"/>
              <w:rPr>
                <w:rFonts w:ascii="Lato" w:hAnsi="Lato" w:cstheme="minorHAnsi"/>
              </w:rPr>
            </w:pPr>
          </w:p>
        </w:tc>
      </w:tr>
    </w:tbl>
    <w:p w14:paraId="54E219A2" w14:textId="77777777" w:rsidR="00304E99" w:rsidRPr="00110288" w:rsidRDefault="00304E99" w:rsidP="00CF3870">
      <w:pPr>
        <w:tabs>
          <w:tab w:val="left" w:pos="5387"/>
        </w:tabs>
        <w:spacing w:after="0" w:line="240" w:lineRule="auto"/>
        <w:ind w:right="-234"/>
        <w:jc w:val="both"/>
        <w:rPr>
          <w:rFonts w:ascii="Lato" w:hAnsi="Lato"/>
        </w:rPr>
      </w:pPr>
    </w:p>
    <w:p w14:paraId="32DD3ECB" w14:textId="77777777" w:rsidR="00304E99" w:rsidRPr="00110288" w:rsidRDefault="00304E99" w:rsidP="00CF3870">
      <w:pPr>
        <w:tabs>
          <w:tab w:val="left" w:pos="5387"/>
        </w:tabs>
        <w:spacing w:after="0" w:line="240" w:lineRule="auto"/>
        <w:ind w:right="-234"/>
        <w:jc w:val="both"/>
        <w:rPr>
          <w:rFonts w:ascii="Lato" w:hAnsi="Lato"/>
        </w:rPr>
      </w:pPr>
    </w:p>
    <w:tbl>
      <w:tblPr>
        <w:tblpPr w:leftFromText="141" w:rightFromText="141" w:vertAnchor="text" w:horzAnchor="margin" w:tblpY="164"/>
        <w:tblW w:w="8467" w:type="dxa"/>
        <w:tblLook w:val="04A0" w:firstRow="1" w:lastRow="0" w:firstColumn="1" w:lastColumn="0" w:noHBand="0" w:noVBand="1"/>
      </w:tblPr>
      <w:tblGrid>
        <w:gridCol w:w="8467"/>
      </w:tblGrid>
      <w:tr w:rsidR="00110288" w:rsidRPr="00110288" w14:paraId="4721AAE2" w14:textId="77777777" w:rsidTr="006022E4">
        <w:trPr>
          <w:trHeight w:val="317"/>
        </w:trPr>
        <w:tc>
          <w:tcPr>
            <w:tcW w:w="8467" w:type="dxa"/>
          </w:tcPr>
          <w:p w14:paraId="6CBEC4C4" w14:textId="77777777" w:rsidR="00304E99" w:rsidRPr="00110288" w:rsidRDefault="00304E99" w:rsidP="00CF3870">
            <w:pPr>
              <w:tabs>
                <w:tab w:val="left" w:pos="142"/>
                <w:tab w:val="left" w:pos="5387"/>
                <w:tab w:val="left" w:pos="5954"/>
              </w:tabs>
              <w:spacing w:after="0" w:line="240" w:lineRule="auto"/>
              <w:ind w:right="-234"/>
              <w:jc w:val="center"/>
              <w:rPr>
                <w:rFonts w:ascii="Lato" w:hAnsi="Lato" w:cstheme="minorHAnsi"/>
                <w:b/>
                <w:bCs/>
              </w:rPr>
            </w:pPr>
          </w:p>
          <w:p w14:paraId="6D8F826F" w14:textId="77777777" w:rsidR="00304E99" w:rsidRPr="00110288" w:rsidRDefault="00304E99" w:rsidP="00CF3870">
            <w:pPr>
              <w:tabs>
                <w:tab w:val="left" w:pos="142"/>
                <w:tab w:val="left" w:pos="5387"/>
                <w:tab w:val="left" w:pos="5954"/>
              </w:tabs>
              <w:spacing w:after="0" w:line="240" w:lineRule="auto"/>
              <w:ind w:right="-234"/>
              <w:jc w:val="center"/>
              <w:rPr>
                <w:rFonts w:ascii="Lato" w:hAnsi="Lato" w:cstheme="minorHAnsi"/>
                <w:b/>
                <w:bCs/>
              </w:rPr>
            </w:pPr>
            <w:r w:rsidRPr="00110288">
              <w:rPr>
                <w:rFonts w:ascii="Lato" w:hAnsi="Lato" w:cstheme="minorHAnsi"/>
                <w:b/>
                <w:bCs/>
              </w:rPr>
              <w:t>DOY FE</w:t>
            </w:r>
          </w:p>
          <w:p w14:paraId="358BBBDC" w14:textId="77777777" w:rsidR="00304E99" w:rsidRPr="00110288" w:rsidRDefault="00304E99" w:rsidP="00CF3870">
            <w:pPr>
              <w:tabs>
                <w:tab w:val="left" w:pos="142"/>
                <w:tab w:val="left" w:pos="5387"/>
                <w:tab w:val="left" w:pos="5954"/>
              </w:tabs>
              <w:spacing w:after="0" w:line="240" w:lineRule="auto"/>
              <w:ind w:right="-234"/>
              <w:jc w:val="center"/>
              <w:rPr>
                <w:rFonts w:ascii="Lato" w:hAnsi="Lato" w:cstheme="minorHAnsi"/>
                <w:b/>
                <w:bCs/>
              </w:rPr>
            </w:pPr>
          </w:p>
          <w:p w14:paraId="4CB2B12D" w14:textId="77777777" w:rsidR="00304E99" w:rsidRPr="00110288" w:rsidRDefault="00304E99" w:rsidP="00CF3870">
            <w:pPr>
              <w:tabs>
                <w:tab w:val="left" w:pos="142"/>
                <w:tab w:val="left" w:pos="5387"/>
                <w:tab w:val="left" w:pos="5954"/>
              </w:tabs>
              <w:spacing w:after="0" w:line="240" w:lineRule="auto"/>
              <w:ind w:right="-234"/>
              <w:jc w:val="center"/>
              <w:rPr>
                <w:rFonts w:ascii="Lato" w:hAnsi="Lato" w:cstheme="minorHAnsi"/>
                <w:b/>
                <w:bCs/>
              </w:rPr>
            </w:pPr>
          </w:p>
          <w:p w14:paraId="7E43E568" w14:textId="77777777" w:rsidR="00304E99" w:rsidRPr="00110288" w:rsidRDefault="00304E99" w:rsidP="00CF3870">
            <w:pPr>
              <w:tabs>
                <w:tab w:val="left" w:pos="142"/>
                <w:tab w:val="left" w:pos="5387"/>
                <w:tab w:val="left" w:pos="5954"/>
              </w:tabs>
              <w:spacing w:after="0" w:line="240" w:lineRule="auto"/>
              <w:ind w:right="-234"/>
              <w:jc w:val="center"/>
              <w:rPr>
                <w:rFonts w:ascii="Lato" w:hAnsi="Lato" w:cstheme="minorHAnsi"/>
              </w:rPr>
            </w:pPr>
          </w:p>
          <w:p w14:paraId="0DC4D3BA" w14:textId="77777777" w:rsidR="00304E99" w:rsidRPr="00110288" w:rsidRDefault="00304E99" w:rsidP="00CF3870">
            <w:pPr>
              <w:tabs>
                <w:tab w:val="left" w:pos="142"/>
                <w:tab w:val="left" w:pos="5387"/>
                <w:tab w:val="left" w:pos="5954"/>
              </w:tabs>
              <w:spacing w:after="0" w:line="240" w:lineRule="auto"/>
              <w:ind w:right="-234"/>
              <w:jc w:val="center"/>
              <w:rPr>
                <w:rFonts w:ascii="Lato" w:hAnsi="Lato" w:cstheme="minorHAnsi"/>
              </w:rPr>
            </w:pPr>
          </w:p>
          <w:p w14:paraId="52FB2D4F" w14:textId="77777777" w:rsidR="00304E99" w:rsidRPr="00110288" w:rsidRDefault="00304E99" w:rsidP="00CF3870">
            <w:pPr>
              <w:tabs>
                <w:tab w:val="left" w:pos="142"/>
                <w:tab w:val="left" w:pos="5387"/>
                <w:tab w:val="left" w:pos="5954"/>
              </w:tabs>
              <w:spacing w:after="0" w:line="240" w:lineRule="auto"/>
              <w:ind w:right="-234"/>
              <w:jc w:val="center"/>
              <w:rPr>
                <w:rFonts w:ascii="Lato" w:hAnsi="Lato" w:cstheme="minorHAnsi"/>
              </w:rPr>
            </w:pPr>
            <w:r w:rsidRPr="00110288">
              <w:rPr>
                <w:rFonts w:ascii="Lato" w:hAnsi="Lato" w:cstheme="minorHAnsi"/>
              </w:rPr>
              <w:t xml:space="preserve">Lcda. </w:t>
            </w:r>
            <w:proofErr w:type="spellStart"/>
            <w:r w:rsidRPr="00110288">
              <w:rPr>
                <w:rFonts w:ascii="Lato" w:hAnsi="Lato" w:cstheme="minorHAnsi"/>
              </w:rPr>
              <w:t>Midory</w:t>
            </w:r>
            <w:proofErr w:type="spellEnd"/>
            <w:r w:rsidRPr="00110288">
              <w:rPr>
                <w:rFonts w:ascii="Lato" w:hAnsi="Lato" w:cstheme="minorHAnsi"/>
              </w:rPr>
              <w:t xml:space="preserve"> Castro Bañuelos </w:t>
            </w:r>
          </w:p>
          <w:p w14:paraId="09060605" w14:textId="77777777" w:rsidR="00304E99" w:rsidRPr="00110288" w:rsidRDefault="00304E99" w:rsidP="00CF3870">
            <w:pPr>
              <w:tabs>
                <w:tab w:val="left" w:pos="142"/>
                <w:tab w:val="left" w:pos="5387"/>
                <w:tab w:val="left" w:pos="5954"/>
              </w:tabs>
              <w:spacing w:after="0" w:line="240" w:lineRule="auto"/>
              <w:ind w:right="-234"/>
              <w:jc w:val="center"/>
              <w:rPr>
                <w:rFonts w:ascii="Lato" w:hAnsi="Lato" w:cstheme="minorHAnsi"/>
              </w:rPr>
            </w:pPr>
            <w:r w:rsidRPr="00110288">
              <w:rPr>
                <w:rFonts w:ascii="Lato" w:hAnsi="Lato" w:cstheme="minorHAnsi"/>
              </w:rPr>
              <w:t>Secretaria Ejecutiva del Consejo de la Judicatura del Estado de Tlaxcala.</w:t>
            </w:r>
          </w:p>
        </w:tc>
      </w:tr>
    </w:tbl>
    <w:p w14:paraId="7605D4AC" w14:textId="71B26B52" w:rsidR="006B4D6E" w:rsidRPr="00110288" w:rsidRDefault="00304E99" w:rsidP="00CF3870">
      <w:pPr>
        <w:pStyle w:val="Prrafodelista"/>
        <w:spacing w:after="0" w:line="240" w:lineRule="auto"/>
        <w:ind w:left="6480" w:right="-234"/>
        <w:jc w:val="both"/>
        <w:rPr>
          <w:rFonts w:ascii="Lato" w:hAnsi="Lato" w:cstheme="minorHAnsi"/>
          <w:bCs/>
          <w:bdr w:val="none" w:sz="0" w:space="0" w:color="auto" w:frame="1"/>
        </w:rPr>
      </w:pPr>
      <w:r w:rsidRPr="00110288">
        <w:rPr>
          <w:rFonts w:ascii="Lato" w:hAnsi="Lato" w:cstheme="minorHAnsi"/>
          <w:bCs/>
          <w:bdr w:val="none" w:sz="0" w:space="0" w:color="auto" w:frame="1"/>
        </w:rPr>
        <w:t xml:space="preserve"> </w:t>
      </w:r>
    </w:p>
    <w:sectPr w:rsidR="006B4D6E" w:rsidRPr="00110288" w:rsidSect="00613D08">
      <w:headerReference w:type="default" r:id="rId12"/>
      <w:footerReference w:type="default" r:id="rId13"/>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AA3998" w14:textId="77777777" w:rsidR="00643A46" w:rsidRDefault="00643A46">
      <w:pPr>
        <w:spacing w:after="0" w:line="240" w:lineRule="auto"/>
      </w:pPr>
      <w:r>
        <w:separator/>
      </w:r>
    </w:p>
  </w:endnote>
  <w:endnote w:type="continuationSeparator" w:id="0">
    <w:p w14:paraId="0638CD76" w14:textId="77777777" w:rsidR="00643A46" w:rsidRDefault="0064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CFE3C" w14:textId="77777777" w:rsidR="00643A46" w:rsidRDefault="00643A46">
      <w:pPr>
        <w:spacing w:after="0" w:line="240" w:lineRule="auto"/>
      </w:pPr>
      <w:r>
        <w:separator/>
      </w:r>
    </w:p>
  </w:footnote>
  <w:footnote w:type="continuationSeparator" w:id="0">
    <w:p w14:paraId="17BE90F1" w14:textId="77777777" w:rsidR="00643A46" w:rsidRDefault="00643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1670362"/>
      <w:docPartObj>
        <w:docPartGallery w:val="Page Numbers (Top of Page)"/>
        <w:docPartUnique/>
      </w:docPartObj>
    </w:sdtPr>
    <w:sdtEndPr>
      <w:rPr>
        <w:sz w:val="30"/>
        <w:szCs w:val="30"/>
      </w:rPr>
    </w:sdtEndPr>
    <w:sdtContent>
      <w:bookmarkStart w:id="9" w:name="_Hlk93306782" w:displacedByCustomXml="prev"/>
      <w:bookmarkStart w:id="10" w:name="_Hlk93306781" w:displacedByCustomXml="prev"/>
      <w:p w14:paraId="000679DD" w14:textId="16687323" w:rsidR="009470F0" w:rsidRDefault="000F2820" w:rsidP="006B4D6E">
        <w:pPr>
          <w:spacing w:after="0" w:line="480" w:lineRule="auto"/>
          <w:ind w:left="708" w:right="-234" w:firstLine="708"/>
          <w:jc w:val="right"/>
          <w:rPr>
            <w:rFonts w:asciiTheme="minorHAnsi" w:hAnsiTheme="minorHAnsi" w:cstheme="minorHAnsi"/>
            <w:b/>
          </w:rPr>
        </w:pPr>
        <w:r w:rsidRPr="00DB296A">
          <w:rPr>
            <w:rFonts w:asciiTheme="minorHAnsi" w:hAnsiTheme="minorHAnsi" w:cstheme="minorHAnsi"/>
            <w:b/>
          </w:rPr>
          <w:t xml:space="preserve">ACTA NÚMERO: </w:t>
        </w:r>
        <w:r w:rsidR="0045005A">
          <w:rPr>
            <w:rFonts w:asciiTheme="minorHAnsi" w:hAnsiTheme="minorHAnsi" w:cstheme="minorHAnsi"/>
            <w:b/>
          </w:rPr>
          <w:t>08</w:t>
        </w:r>
        <w:r w:rsidRPr="00DB296A">
          <w:rPr>
            <w:rFonts w:asciiTheme="minorHAnsi" w:hAnsiTheme="minorHAnsi" w:cstheme="minorHAnsi"/>
            <w:b/>
          </w:rPr>
          <w:t>/202</w:t>
        </w:r>
        <w:r w:rsidRPr="00DB296A">
          <w:rPr>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22102476" name="Imagen 12210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22102476" name="Imagen 122102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0"/>
        <w:bookmarkEnd w:id="9"/>
        <w:r w:rsidR="00A333AC">
          <w:rPr>
            <w:rFonts w:asciiTheme="minorHAnsi" w:hAnsiTheme="minorHAnsi" w:cstheme="minorHAnsi"/>
            <w:b/>
          </w:rPr>
          <w:t>5</w:t>
        </w:r>
      </w:p>
      <w:p w14:paraId="6D7FCCEE" w14:textId="1BE3F72A" w:rsidR="00D8559A" w:rsidRPr="00613D08" w:rsidRDefault="009470F0" w:rsidP="00613D08">
        <w:pPr>
          <w:spacing w:after="0" w:line="480" w:lineRule="auto"/>
          <w:ind w:left="708" w:right="-234" w:firstLine="708"/>
          <w:jc w:val="right"/>
          <w:rPr>
            <w:sz w:val="30"/>
            <w:szCs w:val="30"/>
          </w:rPr>
        </w:pPr>
        <w:r w:rsidRPr="00613D08">
          <w:rPr>
            <w:b/>
            <w:bCs/>
          </w:rPr>
          <w:t xml:space="preserve">EXTRAORDINARIA </w:t>
        </w:r>
        <w:r w:rsidR="000F2820">
          <w:rPr>
            <w:rFonts w:asciiTheme="minorHAnsi" w:hAnsiTheme="minorHAnsi" w:cstheme="minorHAnsi"/>
            <w:b/>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A12D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8D653D"/>
    <w:multiLevelType w:val="hybridMultilevel"/>
    <w:tmpl w:val="157E0026"/>
    <w:lvl w:ilvl="0" w:tplc="1090D928">
      <w:start w:val="1"/>
      <w:numFmt w:val="decimal"/>
      <w:lvlText w:val="%1."/>
      <w:lvlJc w:val="left"/>
      <w:pPr>
        <w:ind w:left="720" w:hanging="360"/>
      </w:pPr>
      <w:rPr>
        <w:rFonts w:ascii="Century Gothic" w:eastAsia="Calibri" w:hAnsi="Century Gothic"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452B75"/>
    <w:multiLevelType w:val="multilevel"/>
    <w:tmpl w:val="B09025F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0" w15:restartNumberingAfterBreak="0">
    <w:nsid w:val="1104078E"/>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3C10C85"/>
    <w:multiLevelType w:val="hybridMultilevel"/>
    <w:tmpl w:val="C7DA7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C6F15AC"/>
    <w:multiLevelType w:val="hybridMultilevel"/>
    <w:tmpl w:val="3F88D504"/>
    <w:lvl w:ilvl="0" w:tplc="7B2E20C4">
      <w:start w:val="1"/>
      <w:numFmt w:val="decimal"/>
      <w:lvlText w:val="%1."/>
      <w:lvlJc w:val="left"/>
      <w:pPr>
        <w:ind w:left="720" w:hanging="360"/>
      </w:pPr>
      <w:rPr>
        <w:rFonts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C9234CE"/>
    <w:multiLevelType w:val="hybridMultilevel"/>
    <w:tmpl w:val="1DF46B6E"/>
    <w:lvl w:ilvl="0" w:tplc="425C1B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4A00D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4B32B68"/>
    <w:multiLevelType w:val="hybridMultilevel"/>
    <w:tmpl w:val="0750EB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28BB4F8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31954DB4"/>
    <w:multiLevelType w:val="hybridMultilevel"/>
    <w:tmpl w:val="40902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2FE79E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38E275B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3926213A"/>
    <w:multiLevelType w:val="hybridMultilevel"/>
    <w:tmpl w:val="64A45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9890228"/>
    <w:multiLevelType w:val="hybridMultilevel"/>
    <w:tmpl w:val="E4CAAD88"/>
    <w:lvl w:ilvl="0" w:tplc="81D070C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1" w15:restartNumberingAfterBreak="0">
    <w:nsid w:val="3B5C69B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33"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F43351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2E634E2"/>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3350F53"/>
    <w:multiLevelType w:val="hybridMultilevel"/>
    <w:tmpl w:val="D72C3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40"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EB83EB2"/>
    <w:multiLevelType w:val="hybridMultilevel"/>
    <w:tmpl w:val="085AB7D0"/>
    <w:lvl w:ilvl="0" w:tplc="2F925282">
      <w:start w:val="1"/>
      <w:numFmt w:val="decimal"/>
      <w:lvlText w:val="%1."/>
      <w:lvlJc w:val="left"/>
      <w:pPr>
        <w:ind w:left="1080" w:hanging="360"/>
      </w:pPr>
      <w:rPr>
        <w:b w:val="0"/>
        <w:bCs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4"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53178BE"/>
    <w:multiLevelType w:val="hybridMultilevel"/>
    <w:tmpl w:val="F48AD2C0"/>
    <w:lvl w:ilvl="0" w:tplc="C07E32D4">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56042A1C"/>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720649"/>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EDA289D"/>
    <w:multiLevelType w:val="hybridMultilevel"/>
    <w:tmpl w:val="EEF61AF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60A57820"/>
    <w:multiLevelType w:val="hybridMultilevel"/>
    <w:tmpl w:val="C5387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618566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64525C7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6"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57" w15:restartNumberingAfterBreak="0">
    <w:nsid w:val="6F54451E"/>
    <w:multiLevelType w:val="hybridMultilevel"/>
    <w:tmpl w:val="9B3A6C2E"/>
    <w:lvl w:ilvl="0" w:tplc="1AA0B33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8" w15:restartNumberingAfterBreak="0">
    <w:nsid w:val="700D7946"/>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0A66845"/>
    <w:multiLevelType w:val="hybridMultilevel"/>
    <w:tmpl w:val="440013D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0"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3" w15:restartNumberingAfterBreak="0">
    <w:nsid w:val="756909C2"/>
    <w:multiLevelType w:val="hybridMultilevel"/>
    <w:tmpl w:val="ECC4A3B2"/>
    <w:lvl w:ilvl="0" w:tplc="4E2E93DC">
      <w:start w:val="1"/>
      <w:numFmt w:val="decimal"/>
      <w:lvlText w:val="%1."/>
      <w:lvlJc w:val="left"/>
      <w:pPr>
        <w:ind w:left="720" w:hanging="360"/>
      </w:pPr>
      <w:rPr>
        <w:rFonts w:ascii="Lato" w:hAnsi="Lato" w:cstheme="minorHAnsi"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DCF4F7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7" w15:restartNumberingAfterBreak="0">
    <w:nsid w:val="7DD81A69"/>
    <w:multiLevelType w:val="hybridMultilevel"/>
    <w:tmpl w:val="90C2F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25"/>
  </w:num>
  <w:num w:numId="2" w16cid:durableId="17198646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8"/>
  </w:num>
  <w:num w:numId="4" w16cid:durableId="894009052">
    <w:abstractNumId w:val="1"/>
  </w:num>
  <w:num w:numId="5" w16cid:durableId="711003999">
    <w:abstractNumId w:val="11"/>
  </w:num>
  <w:num w:numId="6" w16cid:durableId="1342586187">
    <w:abstractNumId w:val="48"/>
  </w:num>
  <w:num w:numId="7" w16cid:durableId="552545073">
    <w:abstractNumId w:val="33"/>
  </w:num>
  <w:num w:numId="8" w16cid:durableId="1125582504">
    <w:abstractNumId w:val="45"/>
  </w:num>
  <w:num w:numId="9" w16cid:durableId="2033535532">
    <w:abstractNumId w:val="49"/>
  </w:num>
  <w:num w:numId="10" w16cid:durableId="539434611">
    <w:abstractNumId w:val="44"/>
  </w:num>
  <w:num w:numId="11" w16cid:durableId="940066454">
    <w:abstractNumId w:val="19"/>
  </w:num>
  <w:num w:numId="12" w16cid:durableId="44186265">
    <w:abstractNumId w:val="3"/>
  </w:num>
  <w:num w:numId="13" w16cid:durableId="1993486393">
    <w:abstractNumId w:val="17"/>
  </w:num>
  <w:num w:numId="14" w16cid:durableId="1637636217">
    <w:abstractNumId w:val="50"/>
  </w:num>
  <w:num w:numId="15" w16cid:durableId="1930387205">
    <w:abstractNumId w:val="35"/>
  </w:num>
  <w:num w:numId="16" w16cid:durableId="1994872274">
    <w:abstractNumId w:val="32"/>
  </w:num>
  <w:num w:numId="17" w16cid:durableId="950282019">
    <w:abstractNumId w:val="42"/>
  </w:num>
  <w:num w:numId="18" w16cid:durableId="1703240276">
    <w:abstractNumId w:val="62"/>
  </w:num>
  <w:num w:numId="19" w16cid:durableId="4211457">
    <w:abstractNumId w:val="39"/>
  </w:num>
  <w:num w:numId="20" w16cid:durableId="803740560">
    <w:abstractNumId w:val="60"/>
  </w:num>
  <w:num w:numId="21" w16cid:durableId="1331324021">
    <w:abstractNumId w:val="64"/>
  </w:num>
  <w:num w:numId="22" w16cid:durableId="1032733189">
    <w:abstractNumId w:val="22"/>
  </w:num>
  <w:num w:numId="23" w16cid:durableId="515927401">
    <w:abstractNumId w:val="7"/>
  </w:num>
  <w:num w:numId="24" w16cid:durableId="142503258">
    <w:abstractNumId w:val="56"/>
  </w:num>
  <w:num w:numId="25" w16cid:durableId="120612950">
    <w:abstractNumId w:val="5"/>
  </w:num>
  <w:num w:numId="26" w16cid:durableId="1155489127">
    <w:abstractNumId w:val="41"/>
  </w:num>
  <w:num w:numId="27" w16cid:durableId="1093355439">
    <w:abstractNumId w:val="61"/>
  </w:num>
  <w:num w:numId="28" w16cid:durableId="1229268774">
    <w:abstractNumId w:val="14"/>
  </w:num>
  <w:num w:numId="29" w16cid:durableId="1546676967">
    <w:abstractNumId w:val="40"/>
  </w:num>
  <w:num w:numId="30" w16cid:durableId="2026401603">
    <w:abstractNumId w:val="38"/>
  </w:num>
  <w:num w:numId="31" w16cid:durableId="1563637607">
    <w:abstractNumId w:val="6"/>
  </w:num>
  <w:num w:numId="32" w16cid:durableId="158815434">
    <w:abstractNumId w:val="29"/>
  </w:num>
  <w:num w:numId="33" w16cid:durableId="8357202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9"/>
  </w:num>
  <w:num w:numId="35" w16cid:durableId="269821115">
    <w:abstractNumId w:val="13"/>
  </w:num>
  <w:num w:numId="36" w16cid:durableId="2009863600">
    <w:abstractNumId w:val="65"/>
  </w:num>
  <w:num w:numId="37" w16cid:durableId="156657048">
    <w:abstractNumId w:val="27"/>
  </w:num>
  <w:num w:numId="38" w16cid:durableId="86854419">
    <w:abstractNumId w:val="34"/>
  </w:num>
  <w:num w:numId="39" w16cid:durableId="878782295">
    <w:abstractNumId w:val="12"/>
  </w:num>
  <w:num w:numId="40" w16cid:durableId="8146337">
    <w:abstractNumId w:val="66"/>
  </w:num>
  <w:num w:numId="41" w16cid:durableId="24602875">
    <w:abstractNumId w:val="63"/>
  </w:num>
  <w:num w:numId="42" w16cid:durableId="1988630355">
    <w:abstractNumId w:val="55"/>
  </w:num>
  <w:num w:numId="43" w16cid:durableId="903879272">
    <w:abstractNumId w:val="28"/>
  </w:num>
  <w:num w:numId="44" w16cid:durableId="1961376803">
    <w:abstractNumId w:val="16"/>
  </w:num>
  <w:num w:numId="45" w16cid:durableId="1091585083">
    <w:abstractNumId w:val="54"/>
  </w:num>
  <w:num w:numId="46" w16cid:durableId="1534223461">
    <w:abstractNumId w:val="26"/>
  </w:num>
  <w:num w:numId="47" w16cid:durableId="112945004">
    <w:abstractNumId w:val="53"/>
  </w:num>
  <w:num w:numId="48" w16cid:durableId="2013485948">
    <w:abstractNumId w:val="31"/>
  </w:num>
  <w:num w:numId="49" w16cid:durableId="1299609475">
    <w:abstractNumId w:val="24"/>
  </w:num>
  <w:num w:numId="50" w16cid:durableId="818152399">
    <w:abstractNumId w:val="0"/>
  </w:num>
  <w:num w:numId="51" w16cid:durableId="1417943409">
    <w:abstractNumId w:val="23"/>
  </w:num>
  <w:num w:numId="52" w16cid:durableId="429619270">
    <w:abstractNumId w:val="37"/>
  </w:num>
  <w:num w:numId="53" w16cid:durableId="2053917629">
    <w:abstractNumId w:val="18"/>
  </w:num>
  <w:num w:numId="54" w16cid:durableId="1417743995">
    <w:abstractNumId w:val="52"/>
  </w:num>
  <w:num w:numId="55" w16cid:durableId="1601714842">
    <w:abstractNumId w:val="2"/>
  </w:num>
  <w:num w:numId="56" w16cid:durableId="326175389">
    <w:abstractNumId w:val="67"/>
  </w:num>
  <w:num w:numId="57" w16cid:durableId="1638997313">
    <w:abstractNumId w:val="4"/>
  </w:num>
  <w:num w:numId="58" w16cid:durableId="1763182921">
    <w:abstractNumId w:val="57"/>
  </w:num>
  <w:num w:numId="59" w16cid:durableId="619068831">
    <w:abstractNumId w:val="46"/>
  </w:num>
  <w:num w:numId="60" w16cid:durableId="190653910">
    <w:abstractNumId w:val="10"/>
  </w:num>
  <w:num w:numId="61" w16cid:durableId="21570600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11981418">
    <w:abstractNumId w:val="58"/>
  </w:num>
  <w:num w:numId="63" w16cid:durableId="1549880861">
    <w:abstractNumId w:val="43"/>
  </w:num>
  <w:num w:numId="64" w16cid:durableId="1950577413">
    <w:abstractNumId w:val="36"/>
  </w:num>
  <w:num w:numId="65" w16cid:durableId="105853759">
    <w:abstractNumId w:val="15"/>
  </w:num>
  <w:num w:numId="66" w16cid:durableId="1076437934">
    <w:abstractNumId w:val="51"/>
  </w:num>
  <w:num w:numId="67" w16cid:durableId="1743288574">
    <w:abstractNumId w:val="30"/>
  </w:num>
  <w:num w:numId="68" w16cid:durableId="831525147">
    <w:abstractNumId w:val="20"/>
  </w:num>
  <w:num w:numId="69" w16cid:durableId="498346158">
    <w:abstractNumId w:val="4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B76"/>
    <w:rsid w:val="0001267F"/>
    <w:rsid w:val="00012711"/>
    <w:rsid w:val="000134A5"/>
    <w:rsid w:val="0001379C"/>
    <w:rsid w:val="00014360"/>
    <w:rsid w:val="0001511D"/>
    <w:rsid w:val="000152A5"/>
    <w:rsid w:val="000172BC"/>
    <w:rsid w:val="00020DB6"/>
    <w:rsid w:val="000225C4"/>
    <w:rsid w:val="00022834"/>
    <w:rsid w:val="000239D3"/>
    <w:rsid w:val="00024BD0"/>
    <w:rsid w:val="00024DA3"/>
    <w:rsid w:val="0002501C"/>
    <w:rsid w:val="00025D7A"/>
    <w:rsid w:val="0002618A"/>
    <w:rsid w:val="0002659B"/>
    <w:rsid w:val="00026ADF"/>
    <w:rsid w:val="00026E5E"/>
    <w:rsid w:val="00030483"/>
    <w:rsid w:val="00032083"/>
    <w:rsid w:val="000327B6"/>
    <w:rsid w:val="00040575"/>
    <w:rsid w:val="00040682"/>
    <w:rsid w:val="000406AD"/>
    <w:rsid w:val="0004193C"/>
    <w:rsid w:val="00042184"/>
    <w:rsid w:val="0004314C"/>
    <w:rsid w:val="000447F0"/>
    <w:rsid w:val="000465B1"/>
    <w:rsid w:val="00046966"/>
    <w:rsid w:val="00050311"/>
    <w:rsid w:val="00053158"/>
    <w:rsid w:val="00054921"/>
    <w:rsid w:val="00054A44"/>
    <w:rsid w:val="0005626A"/>
    <w:rsid w:val="00056C70"/>
    <w:rsid w:val="00057BE4"/>
    <w:rsid w:val="000609DF"/>
    <w:rsid w:val="000615F4"/>
    <w:rsid w:val="000634E0"/>
    <w:rsid w:val="00063737"/>
    <w:rsid w:val="00063B57"/>
    <w:rsid w:val="00067F03"/>
    <w:rsid w:val="00070E4F"/>
    <w:rsid w:val="00070F93"/>
    <w:rsid w:val="000715C4"/>
    <w:rsid w:val="0007215E"/>
    <w:rsid w:val="00073F0F"/>
    <w:rsid w:val="00074D89"/>
    <w:rsid w:val="00084544"/>
    <w:rsid w:val="00084CB8"/>
    <w:rsid w:val="00085486"/>
    <w:rsid w:val="000865BA"/>
    <w:rsid w:val="00086C51"/>
    <w:rsid w:val="00086E40"/>
    <w:rsid w:val="00090005"/>
    <w:rsid w:val="000900AB"/>
    <w:rsid w:val="000904FE"/>
    <w:rsid w:val="00090916"/>
    <w:rsid w:val="00092485"/>
    <w:rsid w:val="00092590"/>
    <w:rsid w:val="00092C31"/>
    <w:rsid w:val="000934DD"/>
    <w:rsid w:val="00094260"/>
    <w:rsid w:val="000956EC"/>
    <w:rsid w:val="000956ED"/>
    <w:rsid w:val="00096CD4"/>
    <w:rsid w:val="000A3989"/>
    <w:rsid w:val="000A6149"/>
    <w:rsid w:val="000A7DA7"/>
    <w:rsid w:val="000B28FF"/>
    <w:rsid w:val="000B2E05"/>
    <w:rsid w:val="000B4505"/>
    <w:rsid w:val="000B6739"/>
    <w:rsid w:val="000B7410"/>
    <w:rsid w:val="000C0869"/>
    <w:rsid w:val="000C1E39"/>
    <w:rsid w:val="000C288A"/>
    <w:rsid w:val="000C5FB7"/>
    <w:rsid w:val="000C6BF5"/>
    <w:rsid w:val="000C79E9"/>
    <w:rsid w:val="000D056A"/>
    <w:rsid w:val="000D2406"/>
    <w:rsid w:val="000D38D8"/>
    <w:rsid w:val="000D4323"/>
    <w:rsid w:val="000D685B"/>
    <w:rsid w:val="000E0118"/>
    <w:rsid w:val="000E367D"/>
    <w:rsid w:val="000E69B4"/>
    <w:rsid w:val="000E6A64"/>
    <w:rsid w:val="000E7908"/>
    <w:rsid w:val="000F0BBF"/>
    <w:rsid w:val="000F153F"/>
    <w:rsid w:val="000F253B"/>
    <w:rsid w:val="000F2820"/>
    <w:rsid w:val="000F2F75"/>
    <w:rsid w:val="000F6F0B"/>
    <w:rsid w:val="00100F16"/>
    <w:rsid w:val="0010237D"/>
    <w:rsid w:val="00102B8A"/>
    <w:rsid w:val="00103912"/>
    <w:rsid w:val="00104857"/>
    <w:rsid w:val="00105103"/>
    <w:rsid w:val="001073E1"/>
    <w:rsid w:val="001078AF"/>
    <w:rsid w:val="00110288"/>
    <w:rsid w:val="00110AF9"/>
    <w:rsid w:val="00110CB6"/>
    <w:rsid w:val="001131D7"/>
    <w:rsid w:val="00115DCA"/>
    <w:rsid w:val="00123294"/>
    <w:rsid w:val="00124497"/>
    <w:rsid w:val="00125A68"/>
    <w:rsid w:val="00126B3B"/>
    <w:rsid w:val="00126F68"/>
    <w:rsid w:val="001275B8"/>
    <w:rsid w:val="001279CF"/>
    <w:rsid w:val="00130B32"/>
    <w:rsid w:val="00130DBC"/>
    <w:rsid w:val="001326E3"/>
    <w:rsid w:val="001341A6"/>
    <w:rsid w:val="00134411"/>
    <w:rsid w:val="001361E8"/>
    <w:rsid w:val="00136D81"/>
    <w:rsid w:val="0014158F"/>
    <w:rsid w:val="00141A5A"/>
    <w:rsid w:val="001430F4"/>
    <w:rsid w:val="00143175"/>
    <w:rsid w:val="0014359C"/>
    <w:rsid w:val="001436BB"/>
    <w:rsid w:val="00144DA7"/>
    <w:rsid w:val="00146AD2"/>
    <w:rsid w:val="001527C8"/>
    <w:rsid w:val="00153006"/>
    <w:rsid w:val="00153C53"/>
    <w:rsid w:val="001542FD"/>
    <w:rsid w:val="00161187"/>
    <w:rsid w:val="001622CC"/>
    <w:rsid w:val="00162309"/>
    <w:rsid w:val="001629B9"/>
    <w:rsid w:val="00162FF6"/>
    <w:rsid w:val="00164869"/>
    <w:rsid w:val="00166EBD"/>
    <w:rsid w:val="001674E6"/>
    <w:rsid w:val="00170569"/>
    <w:rsid w:val="00170F58"/>
    <w:rsid w:val="00171065"/>
    <w:rsid w:val="00171689"/>
    <w:rsid w:val="00172388"/>
    <w:rsid w:val="001731A4"/>
    <w:rsid w:val="00174A94"/>
    <w:rsid w:val="00177B0A"/>
    <w:rsid w:val="001823B0"/>
    <w:rsid w:val="00182AA8"/>
    <w:rsid w:val="00182D5F"/>
    <w:rsid w:val="001855D0"/>
    <w:rsid w:val="001860A6"/>
    <w:rsid w:val="00187978"/>
    <w:rsid w:val="00187DBE"/>
    <w:rsid w:val="0019120D"/>
    <w:rsid w:val="00192C73"/>
    <w:rsid w:val="00193EDC"/>
    <w:rsid w:val="0019551D"/>
    <w:rsid w:val="00197C91"/>
    <w:rsid w:val="001A1080"/>
    <w:rsid w:val="001A1406"/>
    <w:rsid w:val="001A26BF"/>
    <w:rsid w:val="001A31C9"/>
    <w:rsid w:val="001A42A0"/>
    <w:rsid w:val="001A50C2"/>
    <w:rsid w:val="001A56EF"/>
    <w:rsid w:val="001A5E8C"/>
    <w:rsid w:val="001A7253"/>
    <w:rsid w:val="001A76A3"/>
    <w:rsid w:val="001A7D9D"/>
    <w:rsid w:val="001A7FF4"/>
    <w:rsid w:val="001B5501"/>
    <w:rsid w:val="001B562D"/>
    <w:rsid w:val="001C0D1C"/>
    <w:rsid w:val="001C1490"/>
    <w:rsid w:val="001C1AC1"/>
    <w:rsid w:val="001C1D61"/>
    <w:rsid w:val="001C3647"/>
    <w:rsid w:val="001C4614"/>
    <w:rsid w:val="001C4B57"/>
    <w:rsid w:val="001C5910"/>
    <w:rsid w:val="001C6842"/>
    <w:rsid w:val="001C7508"/>
    <w:rsid w:val="001C7775"/>
    <w:rsid w:val="001D0456"/>
    <w:rsid w:val="001D2605"/>
    <w:rsid w:val="001D4755"/>
    <w:rsid w:val="001D5B65"/>
    <w:rsid w:val="001D6A09"/>
    <w:rsid w:val="001D6DD8"/>
    <w:rsid w:val="001D728C"/>
    <w:rsid w:val="001E042B"/>
    <w:rsid w:val="001E0683"/>
    <w:rsid w:val="001E2B57"/>
    <w:rsid w:val="001E2CC4"/>
    <w:rsid w:val="001E3CB1"/>
    <w:rsid w:val="001E40AF"/>
    <w:rsid w:val="001E4323"/>
    <w:rsid w:val="001E4EE6"/>
    <w:rsid w:val="001E74C7"/>
    <w:rsid w:val="001E775A"/>
    <w:rsid w:val="001E7E50"/>
    <w:rsid w:val="001F2425"/>
    <w:rsid w:val="001F5435"/>
    <w:rsid w:val="001F67DA"/>
    <w:rsid w:val="001F74A4"/>
    <w:rsid w:val="001F7DB9"/>
    <w:rsid w:val="00200478"/>
    <w:rsid w:val="00200CFF"/>
    <w:rsid w:val="002014F3"/>
    <w:rsid w:val="00202769"/>
    <w:rsid w:val="00202B44"/>
    <w:rsid w:val="002048ED"/>
    <w:rsid w:val="002052AD"/>
    <w:rsid w:val="002059C0"/>
    <w:rsid w:val="00205BB9"/>
    <w:rsid w:val="00206897"/>
    <w:rsid w:val="00206E3F"/>
    <w:rsid w:val="00207A26"/>
    <w:rsid w:val="00210F50"/>
    <w:rsid w:val="00211D60"/>
    <w:rsid w:val="00212929"/>
    <w:rsid w:val="00214BF1"/>
    <w:rsid w:val="002160AC"/>
    <w:rsid w:val="00216DE9"/>
    <w:rsid w:val="00217074"/>
    <w:rsid w:val="00217841"/>
    <w:rsid w:val="00220783"/>
    <w:rsid w:val="00221403"/>
    <w:rsid w:val="002215B6"/>
    <w:rsid w:val="002223BF"/>
    <w:rsid w:val="0022568B"/>
    <w:rsid w:val="00225F9A"/>
    <w:rsid w:val="002269F6"/>
    <w:rsid w:val="00227C62"/>
    <w:rsid w:val="00231EF7"/>
    <w:rsid w:val="00232C95"/>
    <w:rsid w:val="00233771"/>
    <w:rsid w:val="00233C1C"/>
    <w:rsid w:val="00240DBC"/>
    <w:rsid w:val="002416AF"/>
    <w:rsid w:val="00241BE5"/>
    <w:rsid w:val="00242C71"/>
    <w:rsid w:val="00242DCB"/>
    <w:rsid w:val="0024458E"/>
    <w:rsid w:val="00246EF5"/>
    <w:rsid w:val="0024735B"/>
    <w:rsid w:val="00247B45"/>
    <w:rsid w:val="00250088"/>
    <w:rsid w:val="00250DC6"/>
    <w:rsid w:val="00251FEC"/>
    <w:rsid w:val="00252588"/>
    <w:rsid w:val="00253367"/>
    <w:rsid w:val="00253FA9"/>
    <w:rsid w:val="0025582B"/>
    <w:rsid w:val="00257619"/>
    <w:rsid w:val="0026082C"/>
    <w:rsid w:val="00261027"/>
    <w:rsid w:val="00261293"/>
    <w:rsid w:val="002613E6"/>
    <w:rsid w:val="00262A97"/>
    <w:rsid w:val="0026353E"/>
    <w:rsid w:val="00264F3B"/>
    <w:rsid w:val="00265A0C"/>
    <w:rsid w:val="00265D02"/>
    <w:rsid w:val="00265F9C"/>
    <w:rsid w:val="0026650B"/>
    <w:rsid w:val="00267BD6"/>
    <w:rsid w:val="00272B29"/>
    <w:rsid w:val="00273FFB"/>
    <w:rsid w:val="00275E5C"/>
    <w:rsid w:val="00280A0D"/>
    <w:rsid w:val="00280D38"/>
    <w:rsid w:val="00283BB9"/>
    <w:rsid w:val="0028661B"/>
    <w:rsid w:val="00286DBF"/>
    <w:rsid w:val="00287876"/>
    <w:rsid w:val="002902F7"/>
    <w:rsid w:val="00290C10"/>
    <w:rsid w:val="002929A0"/>
    <w:rsid w:val="00292B59"/>
    <w:rsid w:val="00294FD2"/>
    <w:rsid w:val="00297626"/>
    <w:rsid w:val="002A0030"/>
    <w:rsid w:val="002A2D19"/>
    <w:rsid w:val="002A33A0"/>
    <w:rsid w:val="002A3D96"/>
    <w:rsid w:val="002A444A"/>
    <w:rsid w:val="002A453E"/>
    <w:rsid w:val="002A5F3D"/>
    <w:rsid w:val="002A6FCC"/>
    <w:rsid w:val="002A76D9"/>
    <w:rsid w:val="002B1148"/>
    <w:rsid w:val="002B17AF"/>
    <w:rsid w:val="002B2B3C"/>
    <w:rsid w:val="002B2B7E"/>
    <w:rsid w:val="002B71FF"/>
    <w:rsid w:val="002B746C"/>
    <w:rsid w:val="002C065E"/>
    <w:rsid w:val="002C0805"/>
    <w:rsid w:val="002C1E16"/>
    <w:rsid w:val="002C2147"/>
    <w:rsid w:val="002C2B96"/>
    <w:rsid w:val="002C3984"/>
    <w:rsid w:val="002C3990"/>
    <w:rsid w:val="002C3F45"/>
    <w:rsid w:val="002C6634"/>
    <w:rsid w:val="002C747F"/>
    <w:rsid w:val="002C7E3D"/>
    <w:rsid w:val="002D25C4"/>
    <w:rsid w:val="002D279B"/>
    <w:rsid w:val="002D2CC2"/>
    <w:rsid w:val="002D4427"/>
    <w:rsid w:val="002D63CD"/>
    <w:rsid w:val="002D6476"/>
    <w:rsid w:val="002D7215"/>
    <w:rsid w:val="002D7E1E"/>
    <w:rsid w:val="002E0E38"/>
    <w:rsid w:val="002E2039"/>
    <w:rsid w:val="002E24FE"/>
    <w:rsid w:val="002E5274"/>
    <w:rsid w:val="002E546A"/>
    <w:rsid w:val="002E5470"/>
    <w:rsid w:val="002E5695"/>
    <w:rsid w:val="002E6BFE"/>
    <w:rsid w:val="002F01A4"/>
    <w:rsid w:val="002F0319"/>
    <w:rsid w:val="002F09EB"/>
    <w:rsid w:val="002F527D"/>
    <w:rsid w:val="002F5C21"/>
    <w:rsid w:val="002F5CEE"/>
    <w:rsid w:val="002F66DA"/>
    <w:rsid w:val="002F6A36"/>
    <w:rsid w:val="002F7C56"/>
    <w:rsid w:val="003004E7"/>
    <w:rsid w:val="00301432"/>
    <w:rsid w:val="00302BD7"/>
    <w:rsid w:val="00303075"/>
    <w:rsid w:val="0030348B"/>
    <w:rsid w:val="00304E99"/>
    <w:rsid w:val="00305ECF"/>
    <w:rsid w:val="00310283"/>
    <w:rsid w:val="00311586"/>
    <w:rsid w:val="00311D75"/>
    <w:rsid w:val="003125F5"/>
    <w:rsid w:val="00314189"/>
    <w:rsid w:val="00315221"/>
    <w:rsid w:val="003155BF"/>
    <w:rsid w:val="00316A83"/>
    <w:rsid w:val="00320D3A"/>
    <w:rsid w:val="0032111C"/>
    <w:rsid w:val="0032224C"/>
    <w:rsid w:val="00323982"/>
    <w:rsid w:val="003248E9"/>
    <w:rsid w:val="00324D55"/>
    <w:rsid w:val="003259ED"/>
    <w:rsid w:val="00325BCC"/>
    <w:rsid w:val="00325D9B"/>
    <w:rsid w:val="00332E1E"/>
    <w:rsid w:val="00336915"/>
    <w:rsid w:val="00337624"/>
    <w:rsid w:val="00340927"/>
    <w:rsid w:val="00341614"/>
    <w:rsid w:val="003426A0"/>
    <w:rsid w:val="003426B8"/>
    <w:rsid w:val="003430A7"/>
    <w:rsid w:val="003434C7"/>
    <w:rsid w:val="0034429C"/>
    <w:rsid w:val="00344851"/>
    <w:rsid w:val="0034526F"/>
    <w:rsid w:val="00345678"/>
    <w:rsid w:val="0034618F"/>
    <w:rsid w:val="00346921"/>
    <w:rsid w:val="0035000A"/>
    <w:rsid w:val="003512F2"/>
    <w:rsid w:val="0035291E"/>
    <w:rsid w:val="003548C2"/>
    <w:rsid w:val="0035572D"/>
    <w:rsid w:val="00357D54"/>
    <w:rsid w:val="00360F85"/>
    <w:rsid w:val="0036280F"/>
    <w:rsid w:val="003651DC"/>
    <w:rsid w:val="00365AF5"/>
    <w:rsid w:val="00366523"/>
    <w:rsid w:val="00370E2A"/>
    <w:rsid w:val="00371FDC"/>
    <w:rsid w:val="00372474"/>
    <w:rsid w:val="00375ADA"/>
    <w:rsid w:val="003767D9"/>
    <w:rsid w:val="003828BB"/>
    <w:rsid w:val="003836B9"/>
    <w:rsid w:val="00383757"/>
    <w:rsid w:val="00385B85"/>
    <w:rsid w:val="00391196"/>
    <w:rsid w:val="00391E29"/>
    <w:rsid w:val="00392616"/>
    <w:rsid w:val="00392C03"/>
    <w:rsid w:val="00396235"/>
    <w:rsid w:val="003973FA"/>
    <w:rsid w:val="003A15BA"/>
    <w:rsid w:val="003A208B"/>
    <w:rsid w:val="003A27EC"/>
    <w:rsid w:val="003A3CDA"/>
    <w:rsid w:val="003A4AB9"/>
    <w:rsid w:val="003A5650"/>
    <w:rsid w:val="003A5EA7"/>
    <w:rsid w:val="003A6C19"/>
    <w:rsid w:val="003A7D39"/>
    <w:rsid w:val="003A7EEA"/>
    <w:rsid w:val="003B06A3"/>
    <w:rsid w:val="003B4A10"/>
    <w:rsid w:val="003B5D8C"/>
    <w:rsid w:val="003B6154"/>
    <w:rsid w:val="003C1B21"/>
    <w:rsid w:val="003C22B8"/>
    <w:rsid w:val="003C2330"/>
    <w:rsid w:val="003C2D95"/>
    <w:rsid w:val="003C3CC3"/>
    <w:rsid w:val="003C75A4"/>
    <w:rsid w:val="003D134A"/>
    <w:rsid w:val="003D25F0"/>
    <w:rsid w:val="003D2D0B"/>
    <w:rsid w:val="003D377C"/>
    <w:rsid w:val="003D4CD1"/>
    <w:rsid w:val="003D75D2"/>
    <w:rsid w:val="003E0288"/>
    <w:rsid w:val="003E0B73"/>
    <w:rsid w:val="003E1713"/>
    <w:rsid w:val="003E1959"/>
    <w:rsid w:val="003E19A1"/>
    <w:rsid w:val="003E3305"/>
    <w:rsid w:val="003E339E"/>
    <w:rsid w:val="003E374C"/>
    <w:rsid w:val="003E3DE2"/>
    <w:rsid w:val="003E4F61"/>
    <w:rsid w:val="003E5DBF"/>
    <w:rsid w:val="003F2574"/>
    <w:rsid w:val="003F2BEC"/>
    <w:rsid w:val="003F45E1"/>
    <w:rsid w:val="003F5DE6"/>
    <w:rsid w:val="003F69D7"/>
    <w:rsid w:val="004011E4"/>
    <w:rsid w:val="0040145C"/>
    <w:rsid w:val="004025A7"/>
    <w:rsid w:val="00403093"/>
    <w:rsid w:val="00404CFA"/>
    <w:rsid w:val="00405263"/>
    <w:rsid w:val="00405577"/>
    <w:rsid w:val="0040567B"/>
    <w:rsid w:val="00412CDA"/>
    <w:rsid w:val="00413F17"/>
    <w:rsid w:val="00416B6F"/>
    <w:rsid w:val="00416C66"/>
    <w:rsid w:val="00422459"/>
    <w:rsid w:val="0042257B"/>
    <w:rsid w:val="00423526"/>
    <w:rsid w:val="00425832"/>
    <w:rsid w:val="004301E8"/>
    <w:rsid w:val="00430347"/>
    <w:rsid w:val="00432D09"/>
    <w:rsid w:val="00432F43"/>
    <w:rsid w:val="00433A75"/>
    <w:rsid w:val="00433CF1"/>
    <w:rsid w:val="004361B6"/>
    <w:rsid w:val="004372C3"/>
    <w:rsid w:val="004379D8"/>
    <w:rsid w:val="004407D3"/>
    <w:rsid w:val="004412AC"/>
    <w:rsid w:val="00442F9C"/>
    <w:rsid w:val="0044310C"/>
    <w:rsid w:val="00445671"/>
    <w:rsid w:val="00447BD5"/>
    <w:rsid w:val="0045005A"/>
    <w:rsid w:val="00450501"/>
    <w:rsid w:val="0045061A"/>
    <w:rsid w:val="004518ED"/>
    <w:rsid w:val="00451B8C"/>
    <w:rsid w:val="004531E1"/>
    <w:rsid w:val="00455349"/>
    <w:rsid w:val="004558C8"/>
    <w:rsid w:val="0045626E"/>
    <w:rsid w:val="00456B50"/>
    <w:rsid w:val="004570D1"/>
    <w:rsid w:val="00457A80"/>
    <w:rsid w:val="00460478"/>
    <w:rsid w:val="00461169"/>
    <w:rsid w:val="004615D3"/>
    <w:rsid w:val="004654A6"/>
    <w:rsid w:val="00465DDE"/>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979E7"/>
    <w:rsid w:val="004A5020"/>
    <w:rsid w:val="004A7E77"/>
    <w:rsid w:val="004B1D6A"/>
    <w:rsid w:val="004B3E15"/>
    <w:rsid w:val="004B558C"/>
    <w:rsid w:val="004B58B4"/>
    <w:rsid w:val="004B64FE"/>
    <w:rsid w:val="004B6FDE"/>
    <w:rsid w:val="004C1A0E"/>
    <w:rsid w:val="004C1A20"/>
    <w:rsid w:val="004C5F05"/>
    <w:rsid w:val="004C694E"/>
    <w:rsid w:val="004C74D0"/>
    <w:rsid w:val="004C7501"/>
    <w:rsid w:val="004D0AD6"/>
    <w:rsid w:val="004D0F01"/>
    <w:rsid w:val="004D1CB1"/>
    <w:rsid w:val="004D1F77"/>
    <w:rsid w:val="004D27E2"/>
    <w:rsid w:val="004D423E"/>
    <w:rsid w:val="004D4951"/>
    <w:rsid w:val="004D4DB7"/>
    <w:rsid w:val="004D6548"/>
    <w:rsid w:val="004E0C30"/>
    <w:rsid w:val="004E1E02"/>
    <w:rsid w:val="004E375D"/>
    <w:rsid w:val="004E398C"/>
    <w:rsid w:val="004E594A"/>
    <w:rsid w:val="004E5AD0"/>
    <w:rsid w:val="004F0901"/>
    <w:rsid w:val="004F4780"/>
    <w:rsid w:val="004F51C4"/>
    <w:rsid w:val="004F5929"/>
    <w:rsid w:val="004F5C35"/>
    <w:rsid w:val="00500533"/>
    <w:rsid w:val="00500603"/>
    <w:rsid w:val="00501C76"/>
    <w:rsid w:val="00501CB9"/>
    <w:rsid w:val="005035C6"/>
    <w:rsid w:val="00504F67"/>
    <w:rsid w:val="00505548"/>
    <w:rsid w:val="005106DC"/>
    <w:rsid w:val="00510C5E"/>
    <w:rsid w:val="0051134C"/>
    <w:rsid w:val="00512A69"/>
    <w:rsid w:val="005141DD"/>
    <w:rsid w:val="0051771A"/>
    <w:rsid w:val="00517B52"/>
    <w:rsid w:val="00520893"/>
    <w:rsid w:val="00522B6B"/>
    <w:rsid w:val="00523FDF"/>
    <w:rsid w:val="00526BD3"/>
    <w:rsid w:val="0052733E"/>
    <w:rsid w:val="00527B8F"/>
    <w:rsid w:val="00530528"/>
    <w:rsid w:val="00531FB1"/>
    <w:rsid w:val="0053327E"/>
    <w:rsid w:val="0053470A"/>
    <w:rsid w:val="005349DD"/>
    <w:rsid w:val="0053506D"/>
    <w:rsid w:val="00537214"/>
    <w:rsid w:val="00537413"/>
    <w:rsid w:val="005378C2"/>
    <w:rsid w:val="00537988"/>
    <w:rsid w:val="005414CC"/>
    <w:rsid w:val="00542607"/>
    <w:rsid w:val="005431B7"/>
    <w:rsid w:val="00543A32"/>
    <w:rsid w:val="00552B5F"/>
    <w:rsid w:val="005535D0"/>
    <w:rsid w:val="0056162B"/>
    <w:rsid w:val="0056650B"/>
    <w:rsid w:val="00571086"/>
    <w:rsid w:val="00574AED"/>
    <w:rsid w:val="00575724"/>
    <w:rsid w:val="00575B23"/>
    <w:rsid w:val="00576A1B"/>
    <w:rsid w:val="00577324"/>
    <w:rsid w:val="005804B1"/>
    <w:rsid w:val="00581CC9"/>
    <w:rsid w:val="00585596"/>
    <w:rsid w:val="0059064E"/>
    <w:rsid w:val="00592014"/>
    <w:rsid w:val="005939BB"/>
    <w:rsid w:val="00593C2E"/>
    <w:rsid w:val="0059440C"/>
    <w:rsid w:val="005954EB"/>
    <w:rsid w:val="00595672"/>
    <w:rsid w:val="00597042"/>
    <w:rsid w:val="00597543"/>
    <w:rsid w:val="005A04C4"/>
    <w:rsid w:val="005A1448"/>
    <w:rsid w:val="005A259B"/>
    <w:rsid w:val="005A3A72"/>
    <w:rsid w:val="005A590E"/>
    <w:rsid w:val="005A6A44"/>
    <w:rsid w:val="005A6CE0"/>
    <w:rsid w:val="005A7E54"/>
    <w:rsid w:val="005B1638"/>
    <w:rsid w:val="005B2781"/>
    <w:rsid w:val="005B3341"/>
    <w:rsid w:val="005B3FA7"/>
    <w:rsid w:val="005B48C7"/>
    <w:rsid w:val="005B77D4"/>
    <w:rsid w:val="005B7CF1"/>
    <w:rsid w:val="005B7EC9"/>
    <w:rsid w:val="005C1E2E"/>
    <w:rsid w:val="005C3201"/>
    <w:rsid w:val="005C4BEE"/>
    <w:rsid w:val="005D0008"/>
    <w:rsid w:val="005D00BC"/>
    <w:rsid w:val="005D0FD2"/>
    <w:rsid w:val="005D12DD"/>
    <w:rsid w:val="005D1E10"/>
    <w:rsid w:val="005D3BDC"/>
    <w:rsid w:val="005D6216"/>
    <w:rsid w:val="005E27C3"/>
    <w:rsid w:val="005E2E4F"/>
    <w:rsid w:val="005E3C0F"/>
    <w:rsid w:val="005E5B7F"/>
    <w:rsid w:val="005E768C"/>
    <w:rsid w:val="005F185D"/>
    <w:rsid w:val="005F533D"/>
    <w:rsid w:val="005F53CC"/>
    <w:rsid w:val="005F71C1"/>
    <w:rsid w:val="00602857"/>
    <w:rsid w:val="00603F67"/>
    <w:rsid w:val="006046E5"/>
    <w:rsid w:val="00604CC6"/>
    <w:rsid w:val="00607721"/>
    <w:rsid w:val="00607D0D"/>
    <w:rsid w:val="00613863"/>
    <w:rsid w:val="00613D08"/>
    <w:rsid w:val="00613DE5"/>
    <w:rsid w:val="006140B2"/>
    <w:rsid w:val="00614A2A"/>
    <w:rsid w:val="006150A4"/>
    <w:rsid w:val="00617833"/>
    <w:rsid w:val="00620534"/>
    <w:rsid w:val="006223D2"/>
    <w:rsid w:val="0062264A"/>
    <w:rsid w:val="00623A5D"/>
    <w:rsid w:val="00623C63"/>
    <w:rsid w:val="00626573"/>
    <w:rsid w:val="00627F78"/>
    <w:rsid w:val="006311D5"/>
    <w:rsid w:val="00631E3F"/>
    <w:rsid w:val="0063319E"/>
    <w:rsid w:val="0063336F"/>
    <w:rsid w:val="00635C48"/>
    <w:rsid w:val="00641734"/>
    <w:rsid w:val="00641E8B"/>
    <w:rsid w:val="00641EEB"/>
    <w:rsid w:val="00643363"/>
    <w:rsid w:val="00643A46"/>
    <w:rsid w:val="00645584"/>
    <w:rsid w:val="0064741F"/>
    <w:rsid w:val="0065139A"/>
    <w:rsid w:val="00651551"/>
    <w:rsid w:val="00651A2D"/>
    <w:rsid w:val="006528EE"/>
    <w:rsid w:val="0065326F"/>
    <w:rsid w:val="006550CC"/>
    <w:rsid w:val="0065777F"/>
    <w:rsid w:val="0066002B"/>
    <w:rsid w:val="00661215"/>
    <w:rsid w:val="00661AA7"/>
    <w:rsid w:val="00665B00"/>
    <w:rsid w:val="006662CC"/>
    <w:rsid w:val="00666628"/>
    <w:rsid w:val="006674F3"/>
    <w:rsid w:val="00670106"/>
    <w:rsid w:val="006707AF"/>
    <w:rsid w:val="00670E3C"/>
    <w:rsid w:val="00672DBC"/>
    <w:rsid w:val="00673100"/>
    <w:rsid w:val="0067432C"/>
    <w:rsid w:val="0067494F"/>
    <w:rsid w:val="00674B52"/>
    <w:rsid w:val="0067580E"/>
    <w:rsid w:val="00677EFF"/>
    <w:rsid w:val="0068198D"/>
    <w:rsid w:val="00681B15"/>
    <w:rsid w:val="00681D1B"/>
    <w:rsid w:val="00683EF8"/>
    <w:rsid w:val="00685BE7"/>
    <w:rsid w:val="0069264E"/>
    <w:rsid w:val="0069447F"/>
    <w:rsid w:val="00695590"/>
    <w:rsid w:val="00696051"/>
    <w:rsid w:val="0069663A"/>
    <w:rsid w:val="00696CF9"/>
    <w:rsid w:val="006A0B8F"/>
    <w:rsid w:val="006A0DA4"/>
    <w:rsid w:val="006A130A"/>
    <w:rsid w:val="006A223A"/>
    <w:rsid w:val="006A35DB"/>
    <w:rsid w:val="006A3F00"/>
    <w:rsid w:val="006A4345"/>
    <w:rsid w:val="006A5DA4"/>
    <w:rsid w:val="006A6B97"/>
    <w:rsid w:val="006B1085"/>
    <w:rsid w:val="006B1C26"/>
    <w:rsid w:val="006B1EE2"/>
    <w:rsid w:val="006B221E"/>
    <w:rsid w:val="006B4D6E"/>
    <w:rsid w:val="006B5619"/>
    <w:rsid w:val="006B5BDD"/>
    <w:rsid w:val="006B6626"/>
    <w:rsid w:val="006B6CDB"/>
    <w:rsid w:val="006C3A99"/>
    <w:rsid w:val="006C499C"/>
    <w:rsid w:val="006C4D04"/>
    <w:rsid w:val="006C6008"/>
    <w:rsid w:val="006C7884"/>
    <w:rsid w:val="006D060F"/>
    <w:rsid w:val="006D39ED"/>
    <w:rsid w:val="006D402F"/>
    <w:rsid w:val="006D55EF"/>
    <w:rsid w:val="006D5616"/>
    <w:rsid w:val="006D63F9"/>
    <w:rsid w:val="006D7D1E"/>
    <w:rsid w:val="006E16FE"/>
    <w:rsid w:val="006E6E1C"/>
    <w:rsid w:val="006E7DB5"/>
    <w:rsid w:val="006E7FB5"/>
    <w:rsid w:val="006F0633"/>
    <w:rsid w:val="006F0AEC"/>
    <w:rsid w:val="006F0EB0"/>
    <w:rsid w:val="006F1FF3"/>
    <w:rsid w:val="006F20E2"/>
    <w:rsid w:val="006F2AF3"/>
    <w:rsid w:val="006F35AC"/>
    <w:rsid w:val="006F3ABB"/>
    <w:rsid w:val="006F41A2"/>
    <w:rsid w:val="006F57F0"/>
    <w:rsid w:val="006F5C9F"/>
    <w:rsid w:val="006F700A"/>
    <w:rsid w:val="00700303"/>
    <w:rsid w:val="00700B70"/>
    <w:rsid w:val="00701BB4"/>
    <w:rsid w:val="00701BE2"/>
    <w:rsid w:val="00702F07"/>
    <w:rsid w:val="00703237"/>
    <w:rsid w:val="00703987"/>
    <w:rsid w:val="007051ED"/>
    <w:rsid w:val="00707EF8"/>
    <w:rsid w:val="0071130C"/>
    <w:rsid w:val="007135C1"/>
    <w:rsid w:val="0071637B"/>
    <w:rsid w:val="00720289"/>
    <w:rsid w:val="007211C9"/>
    <w:rsid w:val="00721899"/>
    <w:rsid w:val="007218ED"/>
    <w:rsid w:val="00722032"/>
    <w:rsid w:val="00723A1C"/>
    <w:rsid w:val="00723BB8"/>
    <w:rsid w:val="00723C28"/>
    <w:rsid w:val="0072484A"/>
    <w:rsid w:val="00724E38"/>
    <w:rsid w:val="00731A9B"/>
    <w:rsid w:val="00732508"/>
    <w:rsid w:val="00734118"/>
    <w:rsid w:val="00735234"/>
    <w:rsid w:val="0073593C"/>
    <w:rsid w:val="0074002F"/>
    <w:rsid w:val="007411A7"/>
    <w:rsid w:val="007420CF"/>
    <w:rsid w:val="00742DD7"/>
    <w:rsid w:val="00742F4D"/>
    <w:rsid w:val="0074336E"/>
    <w:rsid w:val="00743371"/>
    <w:rsid w:val="0074364F"/>
    <w:rsid w:val="00743836"/>
    <w:rsid w:val="007453C7"/>
    <w:rsid w:val="00747CC3"/>
    <w:rsid w:val="00750B9B"/>
    <w:rsid w:val="007513C5"/>
    <w:rsid w:val="007514F5"/>
    <w:rsid w:val="0075367B"/>
    <w:rsid w:val="007551F2"/>
    <w:rsid w:val="00757E3B"/>
    <w:rsid w:val="00762037"/>
    <w:rsid w:val="00763F70"/>
    <w:rsid w:val="00764A38"/>
    <w:rsid w:val="00765B21"/>
    <w:rsid w:val="00765ED5"/>
    <w:rsid w:val="00767213"/>
    <w:rsid w:val="0076780C"/>
    <w:rsid w:val="00772A74"/>
    <w:rsid w:val="0077315F"/>
    <w:rsid w:val="00775671"/>
    <w:rsid w:val="00775D24"/>
    <w:rsid w:val="0077626D"/>
    <w:rsid w:val="007767E7"/>
    <w:rsid w:val="0078047C"/>
    <w:rsid w:val="0078052F"/>
    <w:rsid w:val="00783DC0"/>
    <w:rsid w:val="00784937"/>
    <w:rsid w:val="00785D88"/>
    <w:rsid w:val="00787461"/>
    <w:rsid w:val="00787ED6"/>
    <w:rsid w:val="0079118A"/>
    <w:rsid w:val="00791858"/>
    <w:rsid w:val="00791AE1"/>
    <w:rsid w:val="00794048"/>
    <w:rsid w:val="007950E0"/>
    <w:rsid w:val="0079579F"/>
    <w:rsid w:val="007A316C"/>
    <w:rsid w:val="007A4D72"/>
    <w:rsid w:val="007A5487"/>
    <w:rsid w:val="007B0226"/>
    <w:rsid w:val="007B14FB"/>
    <w:rsid w:val="007B2239"/>
    <w:rsid w:val="007B39FC"/>
    <w:rsid w:val="007B4FB7"/>
    <w:rsid w:val="007B529D"/>
    <w:rsid w:val="007B6BF9"/>
    <w:rsid w:val="007C1504"/>
    <w:rsid w:val="007C2070"/>
    <w:rsid w:val="007C22E8"/>
    <w:rsid w:val="007C44D5"/>
    <w:rsid w:val="007C6434"/>
    <w:rsid w:val="007C6DD6"/>
    <w:rsid w:val="007C7155"/>
    <w:rsid w:val="007D2908"/>
    <w:rsid w:val="007D3CB5"/>
    <w:rsid w:val="007D5918"/>
    <w:rsid w:val="007E568B"/>
    <w:rsid w:val="007F0349"/>
    <w:rsid w:val="007F38A2"/>
    <w:rsid w:val="007F59B9"/>
    <w:rsid w:val="007F6BDC"/>
    <w:rsid w:val="007F7097"/>
    <w:rsid w:val="00803709"/>
    <w:rsid w:val="00804E5D"/>
    <w:rsid w:val="0080554A"/>
    <w:rsid w:val="00806229"/>
    <w:rsid w:val="0080648C"/>
    <w:rsid w:val="00810EB1"/>
    <w:rsid w:val="00811252"/>
    <w:rsid w:val="00811873"/>
    <w:rsid w:val="00812021"/>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18C5"/>
    <w:rsid w:val="00832AF2"/>
    <w:rsid w:val="0083329E"/>
    <w:rsid w:val="0083344B"/>
    <w:rsid w:val="0083458F"/>
    <w:rsid w:val="00835602"/>
    <w:rsid w:val="00835706"/>
    <w:rsid w:val="00837237"/>
    <w:rsid w:val="008375E8"/>
    <w:rsid w:val="00840322"/>
    <w:rsid w:val="0084048F"/>
    <w:rsid w:val="008405B4"/>
    <w:rsid w:val="00840F18"/>
    <w:rsid w:val="00847BB1"/>
    <w:rsid w:val="008501AA"/>
    <w:rsid w:val="00850B02"/>
    <w:rsid w:val="0085202B"/>
    <w:rsid w:val="008521C3"/>
    <w:rsid w:val="00852DA3"/>
    <w:rsid w:val="00853BFD"/>
    <w:rsid w:val="00854FB6"/>
    <w:rsid w:val="008571CC"/>
    <w:rsid w:val="00857BDB"/>
    <w:rsid w:val="00860F25"/>
    <w:rsid w:val="00862FFB"/>
    <w:rsid w:val="00863544"/>
    <w:rsid w:val="00863A1A"/>
    <w:rsid w:val="00863F09"/>
    <w:rsid w:val="00864F1A"/>
    <w:rsid w:val="0086672F"/>
    <w:rsid w:val="0086743E"/>
    <w:rsid w:val="00870287"/>
    <w:rsid w:val="008715FB"/>
    <w:rsid w:val="008741FC"/>
    <w:rsid w:val="00874FE2"/>
    <w:rsid w:val="0087566E"/>
    <w:rsid w:val="0087753B"/>
    <w:rsid w:val="00880E2C"/>
    <w:rsid w:val="00885510"/>
    <w:rsid w:val="00891FC9"/>
    <w:rsid w:val="00892EA6"/>
    <w:rsid w:val="008957A7"/>
    <w:rsid w:val="00895E35"/>
    <w:rsid w:val="008962BD"/>
    <w:rsid w:val="00897A2C"/>
    <w:rsid w:val="00897A84"/>
    <w:rsid w:val="008A16D9"/>
    <w:rsid w:val="008A277D"/>
    <w:rsid w:val="008A2DE9"/>
    <w:rsid w:val="008A313A"/>
    <w:rsid w:val="008A4329"/>
    <w:rsid w:val="008B07B3"/>
    <w:rsid w:val="008B1398"/>
    <w:rsid w:val="008B4432"/>
    <w:rsid w:val="008B63E6"/>
    <w:rsid w:val="008B6D60"/>
    <w:rsid w:val="008C0626"/>
    <w:rsid w:val="008C0AC5"/>
    <w:rsid w:val="008C1C52"/>
    <w:rsid w:val="008C2663"/>
    <w:rsid w:val="008C2F66"/>
    <w:rsid w:val="008C31DF"/>
    <w:rsid w:val="008C37E2"/>
    <w:rsid w:val="008C3E1B"/>
    <w:rsid w:val="008C469F"/>
    <w:rsid w:val="008C630F"/>
    <w:rsid w:val="008C770B"/>
    <w:rsid w:val="008D07BE"/>
    <w:rsid w:val="008D170D"/>
    <w:rsid w:val="008D5F10"/>
    <w:rsid w:val="008D5F41"/>
    <w:rsid w:val="008D7FA1"/>
    <w:rsid w:val="008E0954"/>
    <w:rsid w:val="008E34FD"/>
    <w:rsid w:val="008E3594"/>
    <w:rsid w:val="008E3781"/>
    <w:rsid w:val="008E5BB5"/>
    <w:rsid w:val="008E79AE"/>
    <w:rsid w:val="008F4BAD"/>
    <w:rsid w:val="008F5066"/>
    <w:rsid w:val="00901B57"/>
    <w:rsid w:val="00901C49"/>
    <w:rsid w:val="009049C5"/>
    <w:rsid w:val="0090538D"/>
    <w:rsid w:val="00907ABB"/>
    <w:rsid w:val="009119F7"/>
    <w:rsid w:val="00911A48"/>
    <w:rsid w:val="009130B5"/>
    <w:rsid w:val="009140CF"/>
    <w:rsid w:val="009140DB"/>
    <w:rsid w:val="009151EB"/>
    <w:rsid w:val="00915C1D"/>
    <w:rsid w:val="00917774"/>
    <w:rsid w:val="00920B1C"/>
    <w:rsid w:val="00920E6C"/>
    <w:rsid w:val="0092175E"/>
    <w:rsid w:val="0092227E"/>
    <w:rsid w:val="00925EA5"/>
    <w:rsid w:val="00926A60"/>
    <w:rsid w:val="009317AB"/>
    <w:rsid w:val="00931D31"/>
    <w:rsid w:val="009322CC"/>
    <w:rsid w:val="009337A5"/>
    <w:rsid w:val="00933F77"/>
    <w:rsid w:val="0093475F"/>
    <w:rsid w:val="00936C14"/>
    <w:rsid w:val="00937961"/>
    <w:rsid w:val="00937CB6"/>
    <w:rsid w:val="009413B9"/>
    <w:rsid w:val="0094196C"/>
    <w:rsid w:val="0094416D"/>
    <w:rsid w:val="00944D40"/>
    <w:rsid w:val="009470F0"/>
    <w:rsid w:val="009502E3"/>
    <w:rsid w:val="00952338"/>
    <w:rsid w:val="00952525"/>
    <w:rsid w:val="00952F60"/>
    <w:rsid w:val="00953592"/>
    <w:rsid w:val="00955FFC"/>
    <w:rsid w:val="009569C1"/>
    <w:rsid w:val="00956E43"/>
    <w:rsid w:val="00957704"/>
    <w:rsid w:val="00961EE0"/>
    <w:rsid w:val="00962232"/>
    <w:rsid w:val="009644DC"/>
    <w:rsid w:val="00966D96"/>
    <w:rsid w:val="00967007"/>
    <w:rsid w:val="00967C29"/>
    <w:rsid w:val="00971B84"/>
    <w:rsid w:val="00974F99"/>
    <w:rsid w:val="009759B7"/>
    <w:rsid w:val="00975B7A"/>
    <w:rsid w:val="00981DF9"/>
    <w:rsid w:val="0098229C"/>
    <w:rsid w:val="009824BB"/>
    <w:rsid w:val="00982950"/>
    <w:rsid w:val="00982B13"/>
    <w:rsid w:val="00985BF5"/>
    <w:rsid w:val="009866D6"/>
    <w:rsid w:val="00995B13"/>
    <w:rsid w:val="00995D15"/>
    <w:rsid w:val="00995FC7"/>
    <w:rsid w:val="009A1FF6"/>
    <w:rsid w:val="009A39C0"/>
    <w:rsid w:val="009A3EEB"/>
    <w:rsid w:val="009A46DC"/>
    <w:rsid w:val="009A4D2B"/>
    <w:rsid w:val="009A63A3"/>
    <w:rsid w:val="009A66EF"/>
    <w:rsid w:val="009A69FA"/>
    <w:rsid w:val="009A7320"/>
    <w:rsid w:val="009B02CD"/>
    <w:rsid w:val="009B0935"/>
    <w:rsid w:val="009B0DAB"/>
    <w:rsid w:val="009B2177"/>
    <w:rsid w:val="009B27F9"/>
    <w:rsid w:val="009B38CA"/>
    <w:rsid w:val="009B4E66"/>
    <w:rsid w:val="009B5DE2"/>
    <w:rsid w:val="009B6D7E"/>
    <w:rsid w:val="009C3B43"/>
    <w:rsid w:val="009C49F1"/>
    <w:rsid w:val="009C4F00"/>
    <w:rsid w:val="009C568C"/>
    <w:rsid w:val="009D0043"/>
    <w:rsid w:val="009D04E7"/>
    <w:rsid w:val="009D0943"/>
    <w:rsid w:val="009D0DA6"/>
    <w:rsid w:val="009D1B1C"/>
    <w:rsid w:val="009D22B5"/>
    <w:rsid w:val="009D34AD"/>
    <w:rsid w:val="009D3F9D"/>
    <w:rsid w:val="009D4C00"/>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9F6956"/>
    <w:rsid w:val="00A01F8F"/>
    <w:rsid w:val="00A025A4"/>
    <w:rsid w:val="00A079D9"/>
    <w:rsid w:val="00A104D5"/>
    <w:rsid w:val="00A10C51"/>
    <w:rsid w:val="00A120D8"/>
    <w:rsid w:val="00A12C28"/>
    <w:rsid w:val="00A143C8"/>
    <w:rsid w:val="00A1465B"/>
    <w:rsid w:val="00A16552"/>
    <w:rsid w:val="00A171D8"/>
    <w:rsid w:val="00A2470D"/>
    <w:rsid w:val="00A30C38"/>
    <w:rsid w:val="00A31027"/>
    <w:rsid w:val="00A31A36"/>
    <w:rsid w:val="00A32117"/>
    <w:rsid w:val="00A32B8F"/>
    <w:rsid w:val="00A333AC"/>
    <w:rsid w:val="00A36065"/>
    <w:rsid w:val="00A361D5"/>
    <w:rsid w:val="00A37265"/>
    <w:rsid w:val="00A3735B"/>
    <w:rsid w:val="00A37EB3"/>
    <w:rsid w:val="00A400AA"/>
    <w:rsid w:val="00A41B14"/>
    <w:rsid w:val="00A42B6B"/>
    <w:rsid w:val="00A432DC"/>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30C5"/>
    <w:rsid w:val="00A54A6E"/>
    <w:rsid w:val="00A57D4B"/>
    <w:rsid w:val="00A61597"/>
    <w:rsid w:val="00A61EF4"/>
    <w:rsid w:val="00A62BBE"/>
    <w:rsid w:val="00A64E50"/>
    <w:rsid w:val="00A659EB"/>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1070"/>
    <w:rsid w:val="00A81C54"/>
    <w:rsid w:val="00A84439"/>
    <w:rsid w:val="00A851FF"/>
    <w:rsid w:val="00A860EF"/>
    <w:rsid w:val="00A861D8"/>
    <w:rsid w:val="00A907F2"/>
    <w:rsid w:val="00A92781"/>
    <w:rsid w:val="00A92BEA"/>
    <w:rsid w:val="00A9550E"/>
    <w:rsid w:val="00A96A8A"/>
    <w:rsid w:val="00A973A4"/>
    <w:rsid w:val="00A976AC"/>
    <w:rsid w:val="00AA01EA"/>
    <w:rsid w:val="00AA2796"/>
    <w:rsid w:val="00AA387F"/>
    <w:rsid w:val="00AA662F"/>
    <w:rsid w:val="00AA696C"/>
    <w:rsid w:val="00AB030E"/>
    <w:rsid w:val="00AB0AD0"/>
    <w:rsid w:val="00AB1819"/>
    <w:rsid w:val="00AB4390"/>
    <w:rsid w:val="00AB5E6E"/>
    <w:rsid w:val="00AB68E9"/>
    <w:rsid w:val="00AB6A0F"/>
    <w:rsid w:val="00AC081B"/>
    <w:rsid w:val="00AC1CD1"/>
    <w:rsid w:val="00AC2233"/>
    <w:rsid w:val="00AC26A0"/>
    <w:rsid w:val="00AC3F5E"/>
    <w:rsid w:val="00AC60C6"/>
    <w:rsid w:val="00AD1F7B"/>
    <w:rsid w:val="00AD323E"/>
    <w:rsid w:val="00AD51AF"/>
    <w:rsid w:val="00AD613B"/>
    <w:rsid w:val="00AD6839"/>
    <w:rsid w:val="00AD6AB7"/>
    <w:rsid w:val="00AE04B8"/>
    <w:rsid w:val="00AE2B96"/>
    <w:rsid w:val="00AE3EE8"/>
    <w:rsid w:val="00AE4FBB"/>
    <w:rsid w:val="00AF14FF"/>
    <w:rsid w:val="00AF16F0"/>
    <w:rsid w:val="00AF2957"/>
    <w:rsid w:val="00AF3D5C"/>
    <w:rsid w:val="00AF4897"/>
    <w:rsid w:val="00AF4EE4"/>
    <w:rsid w:val="00AF58EB"/>
    <w:rsid w:val="00B024AB"/>
    <w:rsid w:val="00B03010"/>
    <w:rsid w:val="00B0434F"/>
    <w:rsid w:val="00B05171"/>
    <w:rsid w:val="00B0536F"/>
    <w:rsid w:val="00B05512"/>
    <w:rsid w:val="00B05D60"/>
    <w:rsid w:val="00B07164"/>
    <w:rsid w:val="00B07527"/>
    <w:rsid w:val="00B1012E"/>
    <w:rsid w:val="00B101BB"/>
    <w:rsid w:val="00B10353"/>
    <w:rsid w:val="00B107AB"/>
    <w:rsid w:val="00B158CE"/>
    <w:rsid w:val="00B15E79"/>
    <w:rsid w:val="00B160F8"/>
    <w:rsid w:val="00B16B45"/>
    <w:rsid w:val="00B17596"/>
    <w:rsid w:val="00B17813"/>
    <w:rsid w:val="00B17DB1"/>
    <w:rsid w:val="00B17F54"/>
    <w:rsid w:val="00B21B09"/>
    <w:rsid w:val="00B25126"/>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C95"/>
    <w:rsid w:val="00B42A15"/>
    <w:rsid w:val="00B4309C"/>
    <w:rsid w:val="00B43363"/>
    <w:rsid w:val="00B458B6"/>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386D"/>
    <w:rsid w:val="00B741F7"/>
    <w:rsid w:val="00B74D96"/>
    <w:rsid w:val="00B74EC4"/>
    <w:rsid w:val="00B76412"/>
    <w:rsid w:val="00B8389B"/>
    <w:rsid w:val="00B8457C"/>
    <w:rsid w:val="00B861A3"/>
    <w:rsid w:val="00B90E21"/>
    <w:rsid w:val="00B9158B"/>
    <w:rsid w:val="00B91613"/>
    <w:rsid w:val="00B92868"/>
    <w:rsid w:val="00B92E51"/>
    <w:rsid w:val="00B951D0"/>
    <w:rsid w:val="00B95799"/>
    <w:rsid w:val="00B95CD2"/>
    <w:rsid w:val="00B95E0D"/>
    <w:rsid w:val="00B97FBA"/>
    <w:rsid w:val="00BA272C"/>
    <w:rsid w:val="00BA283B"/>
    <w:rsid w:val="00BA54B7"/>
    <w:rsid w:val="00BA5F40"/>
    <w:rsid w:val="00BA7C3F"/>
    <w:rsid w:val="00BB0762"/>
    <w:rsid w:val="00BB518F"/>
    <w:rsid w:val="00BB68A3"/>
    <w:rsid w:val="00BC03CF"/>
    <w:rsid w:val="00BC0D8C"/>
    <w:rsid w:val="00BC431E"/>
    <w:rsid w:val="00BC5713"/>
    <w:rsid w:val="00BC73FF"/>
    <w:rsid w:val="00BD1D8D"/>
    <w:rsid w:val="00BD2F13"/>
    <w:rsid w:val="00BD5BE4"/>
    <w:rsid w:val="00BD6C2A"/>
    <w:rsid w:val="00BD6E66"/>
    <w:rsid w:val="00BD6E88"/>
    <w:rsid w:val="00BD744E"/>
    <w:rsid w:val="00BE35BA"/>
    <w:rsid w:val="00BE47F6"/>
    <w:rsid w:val="00BE5912"/>
    <w:rsid w:val="00BF0CDC"/>
    <w:rsid w:val="00BF318B"/>
    <w:rsid w:val="00BF3A53"/>
    <w:rsid w:val="00BF6077"/>
    <w:rsid w:val="00BF6B12"/>
    <w:rsid w:val="00BF7138"/>
    <w:rsid w:val="00BF7EF2"/>
    <w:rsid w:val="00C03F81"/>
    <w:rsid w:val="00C069DD"/>
    <w:rsid w:val="00C070FF"/>
    <w:rsid w:val="00C07B22"/>
    <w:rsid w:val="00C07FCF"/>
    <w:rsid w:val="00C10078"/>
    <w:rsid w:val="00C104BE"/>
    <w:rsid w:val="00C13FB3"/>
    <w:rsid w:val="00C15762"/>
    <w:rsid w:val="00C165DD"/>
    <w:rsid w:val="00C17412"/>
    <w:rsid w:val="00C21140"/>
    <w:rsid w:val="00C2229C"/>
    <w:rsid w:val="00C22DB9"/>
    <w:rsid w:val="00C23945"/>
    <w:rsid w:val="00C3135B"/>
    <w:rsid w:val="00C313A3"/>
    <w:rsid w:val="00C31508"/>
    <w:rsid w:val="00C32954"/>
    <w:rsid w:val="00C33CDE"/>
    <w:rsid w:val="00C4207B"/>
    <w:rsid w:val="00C42754"/>
    <w:rsid w:val="00C43135"/>
    <w:rsid w:val="00C4363D"/>
    <w:rsid w:val="00C43BFB"/>
    <w:rsid w:val="00C44051"/>
    <w:rsid w:val="00C47A90"/>
    <w:rsid w:val="00C505D1"/>
    <w:rsid w:val="00C50E75"/>
    <w:rsid w:val="00C517C8"/>
    <w:rsid w:val="00C52759"/>
    <w:rsid w:val="00C533F8"/>
    <w:rsid w:val="00C53F64"/>
    <w:rsid w:val="00C5663A"/>
    <w:rsid w:val="00C57F4B"/>
    <w:rsid w:val="00C60B68"/>
    <w:rsid w:val="00C614DC"/>
    <w:rsid w:val="00C6172D"/>
    <w:rsid w:val="00C63408"/>
    <w:rsid w:val="00C64A8E"/>
    <w:rsid w:val="00C65B35"/>
    <w:rsid w:val="00C65C8A"/>
    <w:rsid w:val="00C65F7F"/>
    <w:rsid w:val="00C660C3"/>
    <w:rsid w:val="00C66B33"/>
    <w:rsid w:val="00C67453"/>
    <w:rsid w:val="00C72ADE"/>
    <w:rsid w:val="00C73591"/>
    <w:rsid w:val="00C73F48"/>
    <w:rsid w:val="00C743D2"/>
    <w:rsid w:val="00C75083"/>
    <w:rsid w:val="00C76BBA"/>
    <w:rsid w:val="00C8019F"/>
    <w:rsid w:val="00C813C9"/>
    <w:rsid w:val="00C841F1"/>
    <w:rsid w:val="00C849B6"/>
    <w:rsid w:val="00C85597"/>
    <w:rsid w:val="00C85831"/>
    <w:rsid w:val="00C87645"/>
    <w:rsid w:val="00C90B4F"/>
    <w:rsid w:val="00C9131D"/>
    <w:rsid w:val="00C92575"/>
    <w:rsid w:val="00C9420E"/>
    <w:rsid w:val="00C94671"/>
    <w:rsid w:val="00C9623B"/>
    <w:rsid w:val="00C965FD"/>
    <w:rsid w:val="00CA14B2"/>
    <w:rsid w:val="00CA2517"/>
    <w:rsid w:val="00CA2AAE"/>
    <w:rsid w:val="00CA504E"/>
    <w:rsid w:val="00CB01ED"/>
    <w:rsid w:val="00CB0DC0"/>
    <w:rsid w:val="00CB2D2A"/>
    <w:rsid w:val="00CB2DA0"/>
    <w:rsid w:val="00CB4F13"/>
    <w:rsid w:val="00CC1062"/>
    <w:rsid w:val="00CC115F"/>
    <w:rsid w:val="00CC227E"/>
    <w:rsid w:val="00CC3399"/>
    <w:rsid w:val="00CC3C6D"/>
    <w:rsid w:val="00CC3D53"/>
    <w:rsid w:val="00CC4EF9"/>
    <w:rsid w:val="00CD2D33"/>
    <w:rsid w:val="00CD3D7E"/>
    <w:rsid w:val="00CD4EB6"/>
    <w:rsid w:val="00CD6A92"/>
    <w:rsid w:val="00CD713B"/>
    <w:rsid w:val="00CD7F8E"/>
    <w:rsid w:val="00CE15F2"/>
    <w:rsid w:val="00CE16DC"/>
    <w:rsid w:val="00CE17EA"/>
    <w:rsid w:val="00CE1C12"/>
    <w:rsid w:val="00CF3870"/>
    <w:rsid w:val="00CF3E03"/>
    <w:rsid w:val="00CF4484"/>
    <w:rsid w:val="00CF5B29"/>
    <w:rsid w:val="00D00354"/>
    <w:rsid w:val="00D00F35"/>
    <w:rsid w:val="00D01B2E"/>
    <w:rsid w:val="00D02148"/>
    <w:rsid w:val="00D02CE7"/>
    <w:rsid w:val="00D03732"/>
    <w:rsid w:val="00D0786D"/>
    <w:rsid w:val="00D07F92"/>
    <w:rsid w:val="00D11BAB"/>
    <w:rsid w:val="00D14C2B"/>
    <w:rsid w:val="00D20776"/>
    <w:rsid w:val="00D22774"/>
    <w:rsid w:val="00D2461E"/>
    <w:rsid w:val="00D24A0B"/>
    <w:rsid w:val="00D279C4"/>
    <w:rsid w:val="00D31A0B"/>
    <w:rsid w:val="00D35236"/>
    <w:rsid w:val="00D4062B"/>
    <w:rsid w:val="00D41658"/>
    <w:rsid w:val="00D43E41"/>
    <w:rsid w:val="00D4624D"/>
    <w:rsid w:val="00D46345"/>
    <w:rsid w:val="00D47CF1"/>
    <w:rsid w:val="00D504E1"/>
    <w:rsid w:val="00D53B45"/>
    <w:rsid w:val="00D54468"/>
    <w:rsid w:val="00D56D2D"/>
    <w:rsid w:val="00D57423"/>
    <w:rsid w:val="00D57636"/>
    <w:rsid w:val="00D625BA"/>
    <w:rsid w:val="00D62ABE"/>
    <w:rsid w:val="00D64236"/>
    <w:rsid w:val="00D644F2"/>
    <w:rsid w:val="00D652A8"/>
    <w:rsid w:val="00D67710"/>
    <w:rsid w:val="00D67871"/>
    <w:rsid w:val="00D72374"/>
    <w:rsid w:val="00D758F5"/>
    <w:rsid w:val="00D83939"/>
    <w:rsid w:val="00D8413C"/>
    <w:rsid w:val="00D84B56"/>
    <w:rsid w:val="00D85015"/>
    <w:rsid w:val="00D8559A"/>
    <w:rsid w:val="00D86047"/>
    <w:rsid w:val="00D866DD"/>
    <w:rsid w:val="00D87D69"/>
    <w:rsid w:val="00D9090F"/>
    <w:rsid w:val="00D917BB"/>
    <w:rsid w:val="00D925E8"/>
    <w:rsid w:val="00D9374E"/>
    <w:rsid w:val="00D945EC"/>
    <w:rsid w:val="00D94DB7"/>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296A"/>
    <w:rsid w:val="00DB4DA1"/>
    <w:rsid w:val="00DB56B6"/>
    <w:rsid w:val="00DB7FFC"/>
    <w:rsid w:val="00DC2232"/>
    <w:rsid w:val="00DC2BF7"/>
    <w:rsid w:val="00DC5518"/>
    <w:rsid w:val="00DC6E60"/>
    <w:rsid w:val="00DC6E76"/>
    <w:rsid w:val="00DC78A4"/>
    <w:rsid w:val="00DC7D22"/>
    <w:rsid w:val="00DD07E6"/>
    <w:rsid w:val="00DD1F4D"/>
    <w:rsid w:val="00DD366C"/>
    <w:rsid w:val="00DD548D"/>
    <w:rsid w:val="00DE13EB"/>
    <w:rsid w:val="00DE2CFA"/>
    <w:rsid w:val="00DE30C1"/>
    <w:rsid w:val="00DE3A81"/>
    <w:rsid w:val="00DE5815"/>
    <w:rsid w:val="00DE69D3"/>
    <w:rsid w:val="00DE6C7A"/>
    <w:rsid w:val="00DE7F48"/>
    <w:rsid w:val="00DF0567"/>
    <w:rsid w:val="00DF0D8C"/>
    <w:rsid w:val="00DF18FF"/>
    <w:rsid w:val="00DF35EC"/>
    <w:rsid w:val="00DF4140"/>
    <w:rsid w:val="00DF4CDA"/>
    <w:rsid w:val="00DF4D04"/>
    <w:rsid w:val="00E050BC"/>
    <w:rsid w:val="00E06B4E"/>
    <w:rsid w:val="00E07358"/>
    <w:rsid w:val="00E10315"/>
    <w:rsid w:val="00E11E7B"/>
    <w:rsid w:val="00E12619"/>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755"/>
    <w:rsid w:val="00E31D48"/>
    <w:rsid w:val="00E332A1"/>
    <w:rsid w:val="00E344D8"/>
    <w:rsid w:val="00E349BE"/>
    <w:rsid w:val="00E358BC"/>
    <w:rsid w:val="00E368CF"/>
    <w:rsid w:val="00E37854"/>
    <w:rsid w:val="00E40237"/>
    <w:rsid w:val="00E40A8E"/>
    <w:rsid w:val="00E459F8"/>
    <w:rsid w:val="00E467A7"/>
    <w:rsid w:val="00E4683C"/>
    <w:rsid w:val="00E47F36"/>
    <w:rsid w:val="00E503C9"/>
    <w:rsid w:val="00E50C7C"/>
    <w:rsid w:val="00E538C0"/>
    <w:rsid w:val="00E5396D"/>
    <w:rsid w:val="00E55A9E"/>
    <w:rsid w:val="00E57EC8"/>
    <w:rsid w:val="00E659FB"/>
    <w:rsid w:val="00E66304"/>
    <w:rsid w:val="00E67C68"/>
    <w:rsid w:val="00E711A8"/>
    <w:rsid w:val="00E716C0"/>
    <w:rsid w:val="00E72BB4"/>
    <w:rsid w:val="00E74437"/>
    <w:rsid w:val="00E75C2A"/>
    <w:rsid w:val="00E81C38"/>
    <w:rsid w:val="00E81C7E"/>
    <w:rsid w:val="00E86B16"/>
    <w:rsid w:val="00E87F89"/>
    <w:rsid w:val="00E90DD9"/>
    <w:rsid w:val="00E91635"/>
    <w:rsid w:val="00E92249"/>
    <w:rsid w:val="00E93437"/>
    <w:rsid w:val="00E93CE0"/>
    <w:rsid w:val="00E94637"/>
    <w:rsid w:val="00E95B3A"/>
    <w:rsid w:val="00EB3536"/>
    <w:rsid w:val="00EB3716"/>
    <w:rsid w:val="00EB3A3C"/>
    <w:rsid w:val="00EB58B7"/>
    <w:rsid w:val="00EB5F3B"/>
    <w:rsid w:val="00EB651A"/>
    <w:rsid w:val="00EB77DC"/>
    <w:rsid w:val="00EC1A49"/>
    <w:rsid w:val="00EC27C7"/>
    <w:rsid w:val="00EC2E9F"/>
    <w:rsid w:val="00EC3E77"/>
    <w:rsid w:val="00EC404D"/>
    <w:rsid w:val="00EC49BA"/>
    <w:rsid w:val="00EC4BE3"/>
    <w:rsid w:val="00EC54AF"/>
    <w:rsid w:val="00EC5B64"/>
    <w:rsid w:val="00EC5F48"/>
    <w:rsid w:val="00EC694E"/>
    <w:rsid w:val="00EC723C"/>
    <w:rsid w:val="00EC7AAC"/>
    <w:rsid w:val="00EC7DE7"/>
    <w:rsid w:val="00ED034B"/>
    <w:rsid w:val="00ED046F"/>
    <w:rsid w:val="00ED185C"/>
    <w:rsid w:val="00ED21F3"/>
    <w:rsid w:val="00ED2761"/>
    <w:rsid w:val="00ED394F"/>
    <w:rsid w:val="00ED407B"/>
    <w:rsid w:val="00ED537C"/>
    <w:rsid w:val="00ED5ED0"/>
    <w:rsid w:val="00ED63AC"/>
    <w:rsid w:val="00EE1410"/>
    <w:rsid w:val="00EE33E4"/>
    <w:rsid w:val="00EE6BB6"/>
    <w:rsid w:val="00EE75C9"/>
    <w:rsid w:val="00EF220E"/>
    <w:rsid w:val="00EF36C1"/>
    <w:rsid w:val="00EF43D5"/>
    <w:rsid w:val="00EF4517"/>
    <w:rsid w:val="00EF54FA"/>
    <w:rsid w:val="00EF57C8"/>
    <w:rsid w:val="00EF5812"/>
    <w:rsid w:val="00EF60B2"/>
    <w:rsid w:val="00EF6431"/>
    <w:rsid w:val="00F0290B"/>
    <w:rsid w:val="00F031F5"/>
    <w:rsid w:val="00F03BDE"/>
    <w:rsid w:val="00F04597"/>
    <w:rsid w:val="00F05C7D"/>
    <w:rsid w:val="00F06982"/>
    <w:rsid w:val="00F06FE4"/>
    <w:rsid w:val="00F10094"/>
    <w:rsid w:val="00F10AFF"/>
    <w:rsid w:val="00F10BEF"/>
    <w:rsid w:val="00F11D6F"/>
    <w:rsid w:val="00F13722"/>
    <w:rsid w:val="00F14E65"/>
    <w:rsid w:val="00F163C8"/>
    <w:rsid w:val="00F165E7"/>
    <w:rsid w:val="00F1682D"/>
    <w:rsid w:val="00F228D9"/>
    <w:rsid w:val="00F23D01"/>
    <w:rsid w:val="00F2484E"/>
    <w:rsid w:val="00F24B3B"/>
    <w:rsid w:val="00F24C12"/>
    <w:rsid w:val="00F24D1E"/>
    <w:rsid w:val="00F251F2"/>
    <w:rsid w:val="00F27AF5"/>
    <w:rsid w:val="00F307B1"/>
    <w:rsid w:val="00F3112F"/>
    <w:rsid w:val="00F31AB3"/>
    <w:rsid w:val="00F33F9D"/>
    <w:rsid w:val="00F34220"/>
    <w:rsid w:val="00F350CC"/>
    <w:rsid w:val="00F420E9"/>
    <w:rsid w:val="00F42B90"/>
    <w:rsid w:val="00F447D0"/>
    <w:rsid w:val="00F44EC9"/>
    <w:rsid w:val="00F45431"/>
    <w:rsid w:val="00F46A7F"/>
    <w:rsid w:val="00F46D02"/>
    <w:rsid w:val="00F47234"/>
    <w:rsid w:val="00F506CF"/>
    <w:rsid w:val="00F5099B"/>
    <w:rsid w:val="00F51978"/>
    <w:rsid w:val="00F52F46"/>
    <w:rsid w:val="00F54C68"/>
    <w:rsid w:val="00F55AD4"/>
    <w:rsid w:val="00F55C7E"/>
    <w:rsid w:val="00F56987"/>
    <w:rsid w:val="00F5770D"/>
    <w:rsid w:val="00F61414"/>
    <w:rsid w:val="00F64605"/>
    <w:rsid w:val="00F65255"/>
    <w:rsid w:val="00F668ED"/>
    <w:rsid w:val="00F67755"/>
    <w:rsid w:val="00F72A84"/>
    <w:rsid w:val="00F72C0A"/>
    <w:rsid w:val="00F72F94"/>
    <w:rsid w:val="00F74532"/>
    <w:rsid w:val="00F76DDE"/>
    <w:rsid w:val="00F84DBE"/>
    <w:rsid w:val="00F85582"/>
    <w:rsid w:val="00F868EC"/>
    <w:rsid w:val="00F91382"/>
    <w:rsid w:val="00F91DCA"/>
    <w:rsid w:val="00F92AC5"/>
    <w:rsid w:val="00F9334C"/>
    <w:rsid w:val="00F93813"/>
    <w:rsid w:val="00F942A6"/>
    <w:rsid w:val="00F94A22"/>
    <w:rsid w:val="00F958B8"/>
    <w:rsid w:val="00F95985"/>
    <w:rsid w:val="00F960A9"/>
    <w:rsid w:val="00F96445"/>
    <w:rsid w:val="00F966B4"/>
    <w:rsid w:val="00F977C7"/>
    <w:rsid w:val="00FA0442"/>
    <w:rsid w:val="00FA0954"/>
    <w:rsid w:val="00FA1859"/>
    <w:rsid w:val="00FA21F4"/>
    <w:rsid w:val="00FA25B4"/>
    <w:rsid w:val="00FA3704"/>
    <w:rsid w:val="00FA57F8"/>
    <w:rsid w:val="00FA757D"/>
    <w:rsid w:val="00FB2AF9"/>
    <w:rsid w:val="00FC1CE0"/>
    <w:rsid w:val="00FC23FD"/>
    <w:rsid w:val="00FC2CB2"/>
    <w:rsid w:val="00FC3076"/>
    <w:rsid w:val="00FC31B1"/>
    <w:rsid w:val="00FC4F45"/>
    <w:rsid w:val="00FC76DB"/>
    <w:rsid w:val="00FD2B09"/>
    <w:rsid w:val="00FD382D"/>
    <w:rsid w:val="00FD4E80"/>
    <w:rsid w:val="00FD5CD4"/>
    <w:rsid w:val="00FD6F6F"/>
    <w:rsid w:val="00FD73C8"/>
    <w:rsid w:val="00FD74AF"/>
    <w:rsid w:val="00FD7B92"/>
    <w:rsid w:val="00FD7FC5"/>
    <w:rsid w:val="00FE0F67"/>
    <w:rsid w:val="00FE4B3A"/>
    <w:rsid w:val="00FE5743"/>
    <w:rsid w:val="00FF0609"/>
    <w:rsid w:val="00FF1A54"/>
    <w:rsid w:val="00FF4AC7"/>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6B4D6E"/>
    <w:pPr>
      <w:spacing w:before="100" w:beforeAutospacing="1" w:after="100" w:afterAutospacing="1" w:line="264" w:lineRule="auto"/>
    </w:pPr>
    <w:rPr>
      <w:rFonts w:asciiTheme="minorHAnsi" w:eastAsiaTheme="minorEastAsia" w:hAnsi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0.jpg"/><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10</Pages>
  <Words>2840</Words>
  <Characters>15622</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47</cp:revision>
  <cp:lastPrinted>2025-01-28T22:01:00Z</cp:lastPrinted>
  <dcterms:created xsi:type="dcterms:W3CDTF">2025-01-23T17:18:00Z</dcterms:created>
  <dcterms:modified xsi:type="dcterms:W3CDTF">2025-01-31T19:28:00Z</dcterms:modified>
</cp:coreProperties>
</file>