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A7AEC" w14:textId="269B0E5F" w:rsidR="00170F58" w:rsidRDefault="00552E94" w:rsidP="00E03740">
      <w:pPr>
        <w:spacing w:line="480" w:lineRule="auto"/>
        <w:jc w:val="both"/>
        <w:rPr>
          <w:rFonts w:ascii="Lato" w:hAnsi="Lato" w:cs="Calibri"/>
          <w:b/>
        </w:rPr>
      </w:pPr>
      <w:bookmarkStart w:id="0" w:name="_Hlk93306768"/>
      <w:bookmarkStart w:id="1" w:name="_Hlk31799003"/>
      <w:bookmarkStart w:id="2" w:name="_Hlk89781194"/>
      <w:r>
        <w:rPr>
          <w:rFonts w:ascii="Lato" w:hAnsi="Lato"/>
          <w:b/>
        </w:rPr>
        <w:t xml:space="preserve">ACTA DE </w:t>
      </w:r>
      <w:r w:rsidRPr="006372D9">
        <w:rPr>
          <w:rFonts w:ascii="Lato" w:hAnsi="Lato"/>
          <w:b/>
        </w:rPr>
        <w:t>SESIÓN EXTRAORDINARIA PRIVADA DEL CONSEJO DE LA JUDICATURA DEL ESTADO DE TLAXCALA</w:t>
      </w:r>
      <w:r w:rsidR="00702793">
        <w:rPr>
          <w:rFonts w:ascii="Lato" w:hAnsi="Lato"/>
          <w:b/>
        </w:rPr>
        <w:t xml:space="preserve">, CELEBRADA A LAS </w:t>
      </w:r>
      <w:r w:rsidR="00702793">
        <w:rPr>
          <w:rFonts w:ascii="Lato" w:hAnsi="Lato" w:cstheme="minorHAnsi"/>
          <w:b/>
        </w:rPr>
        <w:t>T</w:t>
      </w:r>
      <w:r w:rsidR="00FF33FD" w:rsidRPr="006372D9">
        <w:rPr>
          <w:rFonts w:ascii="Lato" w:hAnsi="Lato" w:cstheme="minorHAnsi"/>
          <w:b/>
        </w:rPr>
        <w:t>RECE</w:t>
      </w:r>
      <w:r w:rsidR="001430F4" w:rsidRPr="006372D9">
        <w:rPr>
          <w:rFonts w:ascii="Lato" w:hAnsi="Lato" w:cstheme="minorHAnsi"/>
          <w:b/>
        </w:rPr>
        <w:t xml:space="preserve"> </w:t>
      </w:r>
      <w:r w:rsidR="00170F58" w:rsidRPr="006372D9">
        <w:rPr>
          <w:rFonts w:ascii="Lato" w:hAnsi="Lato" w:cstheme="minorHAnsi"/>
          <w:b/>
        </w:rPr>
        <w:t>HORAS</w:t>
      </w:r>
      <w:r w:rsidR="00E55A9E" w:rsidRPr="006372D9">
        <w:rPr>
          <w:rFonts w:ascii="Lato" w:hAnsi="Lato" w:cstheme="minorHAnsi"/>
          <w:b/>
        </w:rPr>
        <w:t xml:space="preserve"> </w:t>
      </w:r>
      <w:r w:rsidR="001430F4" w:rsidRPr="006372D9">
        <w:rPr>
          <w:rFonts w:ascii="Lato" w:hAnsi="Lato" w:cstheme="minorHAnsi"/>
          <w:b/>
        </w:rPr>
        <w:t xml:space="preserve">CON TREINTA MINUTOS </w:t>
      </w:r>
      <w:r w:rsidR="00E55A9E" w:rsidRPr="006372D9">
        <w:rPr>
          <w:rFonts w:ascii="Lato" w:hAnsi="Lato" w:cstheme="minorHAnsi"/>
          <w:b/>
        </w:rPr>
        <w:t>DEL</w:t>
      </w:r>
      <w:r w:rsidR="008167E9" w:rsidRPr="006372D9">
        <w:rPr>
          <w:rFonts w:ascii="Lato" w:hAnsi="Lato" w:cstheme="minorHAnsi"/>
          <w:b/>
        </w:rPr>
        <w:t xml:space="preserve"> </w:t>
      </w:r>
      <w:r w:rsidR="009470F0" w:rsidRPr="006372D9">
        <w:rPr>
          <w:rFonts w:ascii="Lato" w:hAnsi="Lato" w:cstheme="minorHAnsi"/>
          <w:b/>
        </w:rPr>
        <w:t>VEINT</w:t>
      </w:r>
      <w:r w:rsidR="00FF33FD" w:rsidRPr="006372D9">
        <w:rPr>
          <w:rFonts w:ascii="Lato" w:hAnsi="Lato" w:cstheme="minorHAnsi"/>
          <w:b/>
        </w:rPr>
        <w:t xml:space="preserve">IUNO </w:t>
      </w:r>
      <w:r w:rsidR="001073E1" w:rsidRPr="006372D9">
        <w:rPr>
          <w:rFonts w:ascii="Lato" w:hAnsi="Lato" w:cstheme="minorHAnsi"/>
          <w:b/>
        </w:rPr>
        <w:t>DE</w:t>
      </w:r>
      <w:r w:rsidR="008167E9" w:rsidRPr="006372D9">
        <w:rPr>
          <w:rFonts w:ascii="Lato" w:hAnsi="Lato" w:cstheme="minorHAnsi"/>
          <w:b/>
        </w:rPr>
        <w:t xml:space="preserve"> </w:t>
      </w:r>
      <w:r w:rsidR="009470F0" w:rsidRPr="006372D9">
        <w:rPr>
          <w:rFonts w:ascii="Lato" w:hAnsi="Lato" w:cstheme="minorHAnsi"/>
          <w:b/>
        </w:rPr>
        <w:t>MARZO</w:t>
      </w:r>
      <w:r w:rsidR="008167E9" w:rsidRPr="006372D9">
        <w:rPr>
          <w:rFonts w:ascii="Lato" w:hAnsi="Lato" w:cstheme="minorHAnsi"/>
          <w:b/>
        </w:rPr>
        <w:t xml:space="preserve"> D</w:t>
      </w:r>
      <w:r w:rsidR="00E55A9E" w:rsidRPr="006372D9">
        <w:rPr>
          <w:rFonts w:ascii="Lato" w:hAnsi="Lato" w:cstheme="minorHAnsi"/>
          <w:b/>
        </w:rPr>
        <w:t>E DOS MIL VEINTI</w:t>
      </w:r>
      <w:r w:rsidR="009644DC" w:rsidRPr="006372D9">
        <w:rPr>
          <w:rFonts w:ascii="Lato" w:hAnsi="Lato" w:cstheme="minorHAnsi"/>
          <w:b/>
        </w:rPr>
        <w:t>CUATRO</w:t>
      </w:r>
      <w:r w:rsidR="00170F58" w:rsidRPr="006372D9">
        <w:rPr>
          <w:rFonts w:ascii="Lato" w:hAnsi="Lato" w:cstheme="minorHAnsi"/>
          <w:b/>
        </w:rPr>
        <w:t xml:space="preserve">, </w:t>
      </w:r>
      <w:bookmarkStart w:id="3" w:name="_Hlk54605153"/>
      <w:bookmarkEnd w:id="0"/>
      <w:r w:rsidR="00170F58" w:rsidRPr="006372D9">
        <w:rPr>
          <w:rFonts w:ascii="Lato" w:hAnsi="Lato" w:cstheme="minorHAnsi"/>
          <w:b/>
        </w:rPr>
        <w:t>EN LA PRESIDENCIA DEL TRIBUNAL SUPERIOR DE JUSTICIA DEL ESTADO, CON SEDE EN CIUDAD JUDICIAL, SANTA ANITA HUILOAC, APIZACO,</w:t>
      </w:r>
      <w:r w:rsidR="002A33A0" w:rsidRPr="006372D9">
        <w:rPr>
          <w:rFonts w:ascii="Lato" w:hAnsi="Lato" w:cstheme="minorHAnsi"/>
          <w:b/>
        </w:rPr>
        <w:t xml:space="preserve"> TLAXCALA,</w:t>
      </w:r>
      <w:r w:rsidR="00170F58" w:rsidRPr="006372D9">
        <w:rPr>
          <w:rFonts w:ascii="Lato" w:hAnsi="Lato" w:cstheme="minorHAnsi"/>
          <w:b/>
        </w:rPr>
        <w:t xml:space="preserve"> </w:t>
      </w:r>
      <w:bookmarkEnd w:id="1"/>
      <w:bookmarkEnd w:id="2"/>
      <w:bookmarkEnd w:id="3"/>
      <w:r w:rsidR="00702793">
        <w:rPr>
          <w:rFonts w:ascii="Lato" w:hAnsi="Lato" w:cstheme="minorHAnsi"/>
          <w:b/>
        </w:rPr>
        <w:t xml:space="preserve">BAJO EL SIGUIENTE: </w:t>
      </w:r>
    </w:p>
    <w:p w14:paraId="4A9E458E" w14:textId="77777777" w:rsidR="00702793" w:rsidRPr="006372D9" w:rsidRDefault="00702793" w:rsidP="00E03740">
      <w:pPr>
        <w:spacing w:line="360" w:lineRule="auto"/>
        <w:jc w:val="center"/>
        <w:rPr>
          <w:rFonts w:ascii="Lato" w:hAnsi="Lato" w:cstheme="minorHAnsi"/>
          <w:b/>
          <w:bCs/>
          <w:color w:val="000000" w:themeColor="text1"/>
          <w:bdr w:val="none" w:sz="0" w:space="0" w:color="auto" w:frame="1"/>
        </w:rPr>
      </w:pPr>
      <w:r w:rsidRPr="006372D9">
        <w:rPr>
          <w:rFonts w:ascii="Lato" w:hAnsi="Lato" w:cstheme="minorHAnsi"/>
          <w:b/>
          <w:bCs/>
          <w:color w:val="000000" w:themeColor="text1"/>
          <w:bdr w:val="none" w:sz="0" w:space="0" w:color="auto" w:frame="1"/>
        </w:rPr>
        <w:t>ORDEN DEL DÍA</w:t>
      </w:r>
    </w:p>
    <w:p w14:paraId="7233CA8B" w14:textId="33921F71" w:rsidR="00702793" w:rsidRPr="006372D9" w:rsidRDefault="00702793" w:rsidP="00E03740">
      <w:pPr>
        <w:pStyle w:val="Prrafodelista"/>
        <w:numPr>
          <w:ilvl w:val="0"/>
          <w:numId w:val="42"/>
        </w:numPr>
        <w:spacing w:after="0" w:line="480" w:lineRule="auto"/>
        <w:jc w:val="both"/>
        <w:rPr>
          <w:rFonts w:ascii="Lato" w:hAnsi="Lato" w:cstheme="minorHAnsi"/>
          <w:bCs/>
          <w:color w:val="000000" w:themeColor="text1"/>
          <w:bdr w:val="none" w:sz="0" w:space="0" w:color="auto" w:frame="1"/>
        </w:rPr>
      </w:pPr>
      <w:r w:rsidRPr="006372D9">
        <w:rPr>
          <w:rFonts w:ascii="Lato" w:hAnsi="Lato" w:cstheme="minorHAnsi"/>
          <w:bCs/>
          <w:color w:val="000000" w:themeColor="text1"/>
          <w:bdr w:val="none" w:sz="0" w:space="0" w:color="auto" w:frame="1"/>
        </w:rPr>
        <w:t>Verificación del quórum.</w:t>
      </w:r>
      <w:r w:rsidR="00BF30C7">
        <w:rPr>
          <w:rFonts w:ascii="Lato" w:hAnsi="Lato" w:cstheme="minorHAnsi"/>
          <w:bCs/>
          <w:color w:val="000000" w:themeColor="text1"/>
          <w:bdr w:val="none" w:sz="0" w:space="0" w:color="auto" w:frame="1"/>
        </w:rPr>
        <w:t xml:space="preserve"> - - - - - - - - - - - - - - - - - - - - - - - - - - - - - - - - - - -</w:t>
      </w:r>
    </w:p>
    <w:p w14:paraId="47EE1FC5" w14:textId="062083FD" w:rsidR="00702793" w:rsidRPr="006372D9" w:rsidRDefault="00702793" w:rsidP="00E03740">
      <w:pPr>
        <w:pStyle w:val="Prrafodelista"/>
        <w:numPr>
          <w:ilvl w:val="0"/>
          <w:numId w:val="42"/>
        </w:numPr>
        <w:spacing w:after="0" w:line="480" w:lineRule="auto"/>
        <w:jc w:val="both"/>
        <w:rPr>
          <w:rFonts w:ascii="Lato" w:hAnsi="Lato" w:cstheme="minorHAnsi"/>
          <w:b/>
          <w:bCs/>
          <w:color w:val="000000" w:themeColor="text1"/>
          <w:bdr w:val="none" w:sz="0" w:space="0" w:color="auto" w:frame="1"/>
        </w:rPr>
      </w:pPr>
      <w:r w:rsidRPr="006372D9">
        <w:rPr>
          <w:rFonts w:ascii="Lato" w:hAnsi="Lato" w:cstheme="minorHAnsi"/>
          <w:bCs/>
          <w:color w:val="000000" w:themeColor="text1"/>
          <w:bdr w:val="none" w:sz="0" w:space="0" w:color="auto" w:frame="1"/>
        </w:rPr>
        <w:t>Análisis, discusión y determinación del oficio número TES/14</w:t>
      </w:r>
      <w:r w:rsidR="00CA35A8">
        <w:rPr>
          <w:rFonts w:ascii="Lato" w:hAnsi="Lato" w:cstheme="minorHAnsi"/>
          <w:bCs/>
          <w:color w:val="000000" w:themeColor="text1"/>
          <w:bdr w:val="none" w:sz="0" w:space="0" w:color="auto" w:frame="1"/>
        </w:rPr>
        <w:t>7</w:t>
      </w:r>
      <w:r w:rsidRPr="006372D9">
        <w:rPr>
          <w:rFonts w:ascii="Lato" w:hAnsi="Lato" w:cstheme="minorHAnsi"/>
          <w:bCs/>
          <w:color w:val="000000" w:themeColor="text1"/>
          <w:bdr w:val="none" w:sz="0" w:space="0" w:color="auto" w:frame="1"/>
        </w:rPr>
        <w:t>/2024, recibido el quince de marzo de dos mil veinticuatro, signado por el Tesorero del Poder Judicial del Estado.</w:t>
      </w:r>
      <w:r w:rsidR="00BF30C7">
        <w:rPr>
          <w:rFonts w:ascii="Lato" w:hAnsi="Lato" w:cstheme="minorHAnsi"/>
          <w:bCs/>
          <w:color w:val="000000" w:themeColor="text1"/>
          <w:bdr w:val="none" w:sz="0" w:space="0" w:color="auto" w:frame="1"/>
        </w:rPr>
        <w:t xml:space="preserve"> - - - - - - - - - - - - - - - - - - - - - - - - </w:t>
      </w:r>
    </w:p>
    <w:p w14:paraId="1545AA5A" w14:textId="58DC5956" w:rsidR="00702793" w:rsidRDefault="00702793" w:rsidP="00E03740">
      <w:pPr>
        <w:pStyle w:val="Prrafodelista"/>
        <w:numPr>
          <w:ilvl w:val="0"/>
          <w:numId w:val="42"/>
        </w:numPr>
        <w:spacing w:after="0" w:line="480" w:lineRule="auto"/>
        <w:jc w:val="both"/>
        <w:rPr>
          <w:rFonts w:ascii="Lato" w:hAnsi="Lato" w:cstheme="minorHAnsi"/>
          <w:color w:val="000000" w:themeColor="text1"/>
          <w:bdr w:val="none" w:sz="0" w:space="0" w:color="auto" w:frame="1"/>
        </w:rPr>
      </w:pPr>
      <w:r w:rsidRPr="006372D9">
        <w:rPr>
          <w:rFonts w:ascii="Lato" w:hAnsi="Lato" w:cstheme="minorHAnsi"/>
          <w:color w:val="000000" w:themeColor="text1"/>
          <w:bdr w:val="none" w:sz="0" w:space="0" w:color="auto" w:frame="1"/>
        </w:rPr>
        <w:t xml:space="preserve">Análisis, discusión y determinación del oficio número IEJ/314/2024, recibido el veinte de marzo de dos mil veinticuatro, signado por el </w:t>
      </w:r>
      <w:proofErr w:type="gramStart"/>
      <w:r w:rsidRPr="006372D9">
        <w:rPr>
          <w:rFonts w:ascii="Lato" w:hAnsi="Lato" w:cstheme="minorHAnsi"/>
          <w:color w:val="000000" w:themeColor="text1"/>
          <w:bdr w:val="none" w:sz="0" w:space="0" w:color="auto" w:frame="1"/>
        </w:rPr>
        <w:t>Director</w:t>
      </w:r>
      <w:proofErr w:type="gramEnd"/>
      <w:r w:rsidRPr="006372D9">
        <w:rPr>
          <w:rFonts w:ascii="Lato" w:hAnsi="Lato" w:cstheme="minorHAnsi"/>
          <w:color w:val="000000" w:themeColor="text1"/>
          <w:bdr w:val="none" w:sz="0" w:space="0" w:color="auto" w:frame="1"/>
        </w:rPr>
        <w:t xml:space="preserve"> del Instituto de Especialización Judicial del Poder Judicial del Estado. </w:t>
      </w:r>
      <w:r w:rsidR="00BF30C7">
        <w:rPr>
          <w:rFonts w:ascii="Lato" w:hAnsi="Lato" w:cstheme="minorHAnsi"/>
          <w:color w:val="000000" w:themeColor="text1"/>
          <w:bdr w:val="none" w:sz="0" w:space="0" w:color="auto" w:frame="1"/>
        </w:rPr>
        <w:t xml:space="preserve"> - - - - - - - - - - - - - - - - - - - - - - - - - - - - - - - - - - - - - - - - - - - - - - - - - </w:t>
      </w:r>
    </w:p>
    <w:p w14:paraId="5CCEC059" w14:textId="77777777" w:rsidR="00702793" w:rsidRDefault="00702793" w:rsidP="00E03740">
      <w:pPr>
        <w:spacing w:line="480" w:lineRule="auto"/>
        <w:jc w:val="both"/>
        <w:rPr>
          <w:rFonts w:ascii="Lato" w:hAnsi="Lato" w:cstheme="minorHAnsi"/>
          <w:b/>
          <w:bCs/>
        </w:rPr>
      </w:pPr>
    </w:p>
    <w:p w14:paraId="7DDEAB30" w14:textId="77777777" w:rsidR="009470F0" w:rsidRPr="006372D9" w:rsidRDefault="009470F0" w:rsidP="00E03740">
      <w:pPr>
        <w:spacing w:line="480" w:lineRule="auto"/>
        <w:jc w:val="both"/>
        <w:rPr>
          <w:rFonts w:ascii="Lato" w:hAnsi="Lato" w:cstheme="minorHAnsi"/>
        </w:rPr>
      </w:pPr>
      <w:bookmarkStart w:id="4" w:name="_Hlk94531303"/>
      <w:r w:rsidRPr="006372D9">
        <w:rPr>
          <w:rFonts w:ascii="Lato" w:hAnsi="Lato" w:cstheme="minorHAnsi"/>
        </w:rPr>
        <w:t xml:space="preserve">ASISTENTES: - - - - - - - - - - - - - - - - - - - - - - - - - - - - - - - - - - - - - - - - - - - - - - - - - - - - - </w:t>
      </w:r>
    </w:p>
    <w:tbl>
      <w:tblPr>
        <w:tblW w:w="7938" w:type="dxa"/>
        <w:tblLook w:val="04A0" w:firstRow="1" w:lastRow="0" w:firstColumn="1" w:lastColumn="0" w:noHBand="0" w:noVBand="1"/>
      </w:tblPr>
      <w:tblGrid>
        <w:gridCol w:w="6096"/>
        <w:gridCol w:w="1842"/>
      </w:tblGrid>
      <w:tr w:rsidR="009470F0" w:rsidRPr="006372D9" w14:paraId="53FDB349" w14:textId="77777777" w:rsidTr="00545540">
        <w:tc>
          <w:tcPr>
            <w:tcW w:w="6096" w:type="dxa"/>
            <w:hideMark/>
          </w:tcPr>
          <w:p w14:paraId="625A4732" w14:textId="77777777" w:rsidR="009470F0" w:rsidRPr="006372D9" w:rsidRDefault="009470F0" w:rsidP="00E03740">
            <w:pPr>
              <w:tabs>
                <w:tab w:val="left" w:pos="5387"/>
              </w:tabs>
              <w:spacing w:line="480" w:lineRule="auto"/>
              <w:jc w:val="both"/>
              <w:rPr>
                <w:rFonts w:ascii="Lato" w:hAnsi="Lato" w:cs="Calibri"/>
                <w:b/>
              </w:rPr>
            </w:pPr>
            <w:r w:rsidRPr="006372D9">
              <w:rPr>
                <w:rFonts w:ascii="Lato" w:hAnsi="Lato" w:cs="Calibri"/>
                <w:b/>
              </w:rPr>
              <w:t xml:space="preserve">Magistrada Anel Bañuelos Meneses, </w:t>
            </w:r>
            <w:proofErr w:type="gramStart"/>
            <w:r w:rsidRPr="006372D9">
              <w:rPr>
                <w:rFonts w:ascii="Lato" w:hAnsi="Lato" w:cs="Calibri"/>
                <w:b/>
              </w:rPr>
              <w:t>Presidenta</w:t>
            </w:r>
            <w:proofErr w:type="gramEnd"/>
            <w:r w:rsidRPr="006372D9">
              <w:rPr>
                <w:rFonts w:ascii="Lato" w:hAnsi="Lato" w:cs="Calibri"/>
                <w:b/>
              </w:rPr>
              <w:t xml:space="preserve"> del Consejo de la Judicatura del Estado de Tlaxcala.  - - - -  - - - - - - - - - - - - </w:t>
            </w:r>
          </w:p>
        </w:tc>
        <w:tc>
          <w:tcPr>
            <w:tcW w:w="1842" w:type="dxa"/>
            <w:hideMark/>
          </w:tcPr>
          <w:p w14:paraId="3C6A459F" w14:textId="77777777" w:rsidR="009470F0" w:rsidRPr="006372D9" w:rsidRDefault="009470F0" w:rsidP="00E03740">
            <w:pPr>
              <w:tabs>
                <w:tab w:val="left" w:pos="5387"/>
              </w:tabs>
              <w:spacing w:after="0" w:line="480" w:lineRule="auto"/>
              <w:jc w:val="both"/>
              <w:rPr>
                <w:rFonts w:ascii="Lato" w:hAnsi="Lato" w:cs="Calibri"/>
                <w:b/>
              </w:rPr>
            </w:pPr>
            <w:r w:rsidRPr="006372D9">
              <w:rPr>
                <w:rFonts w:ascii="Lato" w:hAnsi="Lato" w:cs="Calibri"/>
                <w:b/>
              </w:rPr>
              <w:t xml:space="preserve">Presente - - - - - - - - - - - - - - - - - - - </w:t>
            </w:r>
          </w:p>
        </w:tc>
      </w:tr>
      <w:tr w:rsidR="009470F0" w:rsidRPr="006372D9" w14:paraId="15F4F5FE" w14:textId="77777777" w:rsidTr="00545540">
        <w:tc>
          <w:tcPr>
            <w:tcW w:w="6096" w:type="dxa"/>
            <w:hideMark/>
          </w:tcPr>
          <w:p w14:paraId="46D3DF25" w14:textId="3D9B8CD0" w:rsidR="009470F0" w:rsidRPr="006372D9" w:rsidRDefault="00C72591" w:rsidP="00E03740">
            <w:pPr>
              <w:tabs>
                <w:tab w:val="left" w:pos="5387"/>
              </w:tabs>
              <w:spacing w:line="480" w:lineRule="auto"/>
              <w:jc w:val="both"/>
              <w:rPr>
                <w:rFonts w:ascii="Lato" w:hAnsi="Lato" w:cs="Calibri"/>
                <w:b/>
              </w:rPr>
            </w:pPr>
            <w:r>
              <w:rPr>
                <w:rFonts w:ascii="Lato" w:hAnsi="Lato" w:cs="Calibri"/>
                <w:b/>
              </w:rPr>
              <w:t xml:space="preserve">Maestro </w:t>
            </w:r>
            <w:r w:rsidR="00FF33FD" w:rsidRPr="006372D9">
              <w:rPr>
                <w:rFonts w:ascii="Lato" w:hAnsi="Lato" w:cs="Calibri"/>
                <w:b/>
              </w:rPr>
              <w:t xml:space="preserve">Germán Mendoza </w:t>
            </w:r>
            <w:proofErr w:type="spellStart"/>
            <w:r w:rsidR="00FF33FD" w:rsidRPr="006372D9">
              <w:rPr>
                <w:rFonts w:ascii="Lato" w:hAnsi="Lato" w:cs="Calibri"/>
                <w:b/>
              </w:rPr>
              <w:t>Papalotzi</w:t>
            </w:r>
            <w:proofErr w:type="spellEnd"/>
            <w:r w:rsidR="009470F0" w:rsidRPr="006372D9">
              <w:rPr>
                <w:rFonts w:ascii="Lato" w:hAnsi="Lato" w:cs="Calibri"/>
                <w:b/>
              </w:rPr>
              <w:t xml:space="preserve">, integrante del Consejo de la Judicatura del Estado de Tlaxcala.  - - - - - - - - - </w:t>
            </w:r>
            <w:r>
              <w:rPr>
                <w:rFonts w:ascii="Lato" w:hAnsi="Lato" w:cs="Calibri"/>
                <w:b/>
              </w:rPr>
              <w:t xml:space="preserve">- - - - - - - </w:t>
            </w:r>
          </w:p>
        </w:tc>
        <w:tc>
          <w:tcPr>
            <w:tcW w:w="1842" w:type="dxa"/>
            <w:hideMark/>
          </w:tcPr>
          <w:p w14:paraId="4924704C" w14:textId="77777777" w:rsidR="009470F0" w:rsidRPr="006372D9" w:rsidRDefault="009470F0" w:rsidP="00E03740">
            <w:pPr>
              <w:tabs>
                <w:tab w:val="left" w:pos="5387"/>
              </w:tabs>
              <w:spacing w:after="0" w:line="480" w:lineRule="auto"/>
              <w:ind w:left="36"/>
              <w:jc w:val="both"/>
              <w:rPr>
                <w:rFonts w:ascii="Lato" w:hAnsi="Lato" w:cs="Calibri"/>
                <w:b/>
              </w:rPr>
            </w:pPr>
            <w:r w:rsidRPr="006372D9">
              <w:rPr>
                <w:rFonts w:ascii="Lato" w:hAnsi="Lato" w:cs="Calibri"/>
                <w:b/>
              </w:rPr>
              <w:t>Presente - - - - - - - - - - - - - - - - - -</w:t>
            </w:r>
          </w:p>
        </w:tc>
      </w:tr>
      <w:tr w:rsidR="009470F0" w:rsidRPr="00DA59BC" w14:paraId="3C563685" w14:textId="77777777" w:rsidTr="00545540">
        <w:tc>
          <w:tcPr>
            <w:tcW w:w="6096" w:type="dxa"/>
            <w:hideMark/>
          </w:tcPr>
          <w:p w14:paraId="718DD7B4" w14:textId="77777777" w:rsidR="009470F0" w:rsidRPr="00DA59BC" w:rsidRDefault="009470F0" w:rsidP="00DA59BC">
            <w:pPr>
              <w:tabs>
                <w:tab w:val="left" w:pos="5387"/>
              </w:tabs>
              <w:spacing w:line="480" w:lineRule="auto"/>
              <w:jc w:val="both"/>
              <w:rPr>
                <w:rFonts w:ascii="Lato" w:hAnsi="Lato" w:cs="Calibri"/>
                <w:b/>
              </w:rPr>
            </w:pPr>
            <w:r w:rsidRPr="00DA59BC">
              <w:rPr>
                <w:rFonts w:ascii="Lato" w:hAnsi="Lato" w:cs="Calibri"/>
                <w:b/>
              </w:rPr>
              <w:t xml:space="preserve">Licenciada Violeta Fernández Vázquez, integrante del Consejo de la Judicatura del Estado de Tlaxcala.  - - - - - - - - - </w:t>
            </w:r>
          </w:p>
        </w:tc>
        <w:tc>
          <w:tcPr>
            <w:tcW w:w="1842" w:type="dxa"/>
            <w:hideMark/>
          </w:tcPr>
          <w:p w14:paraId="69990AB3" w14:textId="77777777" w:rsidR="009470F0" w:rsidRPr="00DA59BC" w:rsidRDefault="009470F0" w:rsidP="00DA59BC">
            <w:pPr>
              <w:tabs>
                <w:tab w:val="left" w:pos="5387"/>
              </w:tabs>
              <w:spacing w:after="0" w:line="480" w:lineRule="auto"/>
              <w:ind w:left="36"/>
              <w:jc w:val="both"/>
              <w:rPr>
                <w:rFonts w:ascii="Lato" w:hAnsi="Lato" w:cs="Calibri"/>
                <w:b/>
              </w:rPr>
            </w:pPr>
            <w:r w:rsidRPr="00DA59BC">
              <w:rPr>
                <w:rFonts w:ascii="Lato" w:hAnsi="Lato" w:cs="Calibri"/>
                <w:b/>
              </w:rPr>
              <w:t xml:space="preserve">- - - - - - - - - - - - - </w:t>
            </w:r>
          </w:p>
          <w:p w14:paraId="2F3C6E0A" w14:textId="77777777" w:rsidR="009470F0" w:rsidRPr="00DA59BC" w:rsidRDefault="009470F0" w:rsidP="00DA59BC">
            <w:pPr>
              <w:tabs>
                <w:tab w:val="left" w:pos="5387"/>
              </w:tabs>
              <w:spacing w:line="480" w:lineRule="auto"/>
              <w:ind w:left="36"/>
              <w:jc w:val="both"/>
              <w:rPr>
                <w:rFonts w:ascii="Lato" w:hAnsi="Lato" w:cs="Calibri"/>
                <w:b/>
              </w:rPr>
            </w:pPr>
            <w:r w:rsidRPr="00DA59BC">
              <w:rPr>
                <w:rFonts w:ascii="Lato" w:hAnsi="Lato" w:cs="Calibri"/>
                <w:b/>
              </w:rPr>
              <w:t xml:space="preserve">Presente - - - - - </w:t>
            </w:r>
          </w:p>
        </w:tc>
      </w:tr>
      <w:tr w:rsidR="009470F0" w:rsidRPr="00DA59BC" w14:paraId="012CB99D" w14:textId="77777777" w:rsidTr="00545540">
        <w:tc>
          <w:tcPr>
            <w:tcW w:w="6096" w:type="dxa"/>
          </w:tcPr>
          <w:p w14:paraId="527671B2" w14:textId="77777777" w:rsidR="009470F0" w:rsidRPr="00DA59BC" w:rsidRDefault="009470F0" w:rsidP="00DA59BC">
            <w:pPr>
              <w:tabs>
                <w:tab w:val="left" w:pos="5387"/>
              </w:tabs>
              <w:spacing w:line="480" w:lineRule="auto"/>
              <w:jc w:val="both"/>
              <w:rPr>
                <w:rFonts w:ascii="Lato" w:hAnsi="Lato" w:cs="Calibri"/>
                <w:b/>
              </w:rPr>
            </w:pPr>
            <w:r w:rsidRPr="00DA59BC">
              <w:rPr>
                <w:rFonts w:ascii="Lato" w:hAnsi="Lato" w:cs="Calibri"/>
                <w:b/>
              </w:rPr>
              <w:t>Maestra Edith Alejandra Segura Payán, integrante del Consejo de la Judicatura del Estado de Tlaxcala. - - - - - - - - - -</w:t>
            </w:r>
          </w:p>
        </w:tc>
        <w:tc>
          <w:tcPr>
            <w:tcW w:w="1842" w:type="dxa"/>
          </w:tcPr>
          <w:p w14:paraId="24F48A4A" w14:textId="77777777" w:rsidR="009470F0" w:rsidRPr="00DA59BC" w:rsidRDefault="009470F0" w:rsidP="00DA59BC">
            <w:pPr>
              <w:tabs>
                <w:tab w:val="left" w:pos="5387"/>
              </w:tabs>
              <w:spacing w:after="0" w:line="480" w:lineRule="auto"/>
              <w:ind w:left="36"/>
              <w:jc w:val="both"/>
              <w:rPr>
                <w:rFonts w:ascii="Lato" w:hAnsi="Lato" w:cs="Calibri"/>
                <w:b/>
              </w:rPr>
            </w:pPr>
            <w:r w:rsidRPr="00DA59BC">
              <w:rPr>
                <w:rFonts w:ascii="Lato" w:hAnsi="Lato" w:cs="Calibri"/>
                <w:b/>
              </w:rPr>
              <w:t xml:space="preserve">- - - - - - - - - - - - - </w:t>
            </w:r>
          </w:p>
          <w:p w14:paraId="5469FD71" w14:textId="77777777" w:rsidR="009470F0" w:rsidRPr="00DA59BC" w:rsidRDefault="009470F0" w:rsidP="00DA59BC">
            <w:pPr>
              <w:tabs>
                <w:tab w:val="left" w:pos="5387"/>
              </w:tabs>
              <w:spacing w:after="0" w:line="480" w:lineRule="auto"/>
              <w:ind w:left="36"/>
              <w:jc w:val="both"/>
              <w:rPr>
                <w:rFonts w:ascii="Lato" w:hAnsi="Lato" w:cs="Calibri"/>
                <w:b/>
              </w:rPr>
            </w:pPr>
            <w:r w:rsidRPr="00DA59BC">
              <w:rPr>
                <w:rFonts w:ascii="Lato" w:hAnsi="Lato" w:cs="Calibri"/>
                <w:b/>
              </w:rPr>
              <w:t xml:space="preserve">Presente- - - - - -  </w:t>
            </w:r>
          </w:p>
        </w:tc>
      </w:tr>
      <w:tr w:rsidR="009470F0" w:rsidRPr="00DA59BC" w14:paraId="4C542908" w14:textId="77777777" w:rsidTr="00545540">
        <w:tc>
          <w:tcPr>
            <w:tcW w:w="6096" w:type="dxa"/>
          </w:tcPr>
          <w:p w14:paraId="2BD95C2E" w14:textId="77777777" w:rsidR="009470F0" w:rsidRPr="00DA59BC" w:rsidRDefault="009470F0" w:rsidP="00DA59BC">
            <w:pPr>
              <w:tabs>
                <w:tab w:val="left" w:pos="5387"/>
              </w:tabs>
              <w:spacing w:after="120" w:line="480" w:lineRule="auto"/>
              <w:jc w:val="both"/>
              <w:rPr>
                <w:rFonts w:ascii="Lato" w:hAnsi="Lato" w:cs="Calibri"/>
                <w:b/>
              </w:rPr>
            </w:pPr>
            <w:r w:rsidRPr="00DA59BC">
              <w:rPr>
                <w:rFonts w:ascii="Lato" w:hAnsi="Lato" w:cs="Calibri"/>
                <w:b/>
              </w:rPr>
              <w:lastRenderedPageBreak/>
              <w:t xml:space="preserve">Licenciado Rey David González </w:t>
            </w:r>
            <w:proofErr w:type="spellStart"/>
            <w:r w:rsidRPr="00DA59BC">
              <w:rPr>
                <w:rFonts w:ascii="Lato" w:hAnsi="Lato" w:cs="Calibri"/>
                <w:b/>
              </w:rPr>
              <w:t>González</w:t>
            </w:r>
            <w:proofErr w:type="spellEnd"/>
            <w:r w:rsidRPr="00DA59BC">
              <w:rPr>
                <w:rFonts w:ascii="Lato" w:hAnsi="Lato" w:cs="Calibri"/>
                <w:b/>
              </w:rPr>
              <w:t xml:space="preserve">, integrante del Consejo de la Judicatura del Estado de Tlaxcala. - - - - - - - - - - </w:t>
            </w:r>
          </w:p>
        </w:tc>
        <w:tc>
          <w:tcPr>
            <w:tcW w:w="1842" w:type="dxa"/>
          </w:tcPr>
          <w:p w14:paraId="4CB227A1" w14:textId="77777777" w:rsidR="009470F0" w:rsidRPr="00DA59BC" w:rsidRDefault="009470F0" w:rsidP="00DA59BC">
            <w:pPr>
              <w:tabs>
                <w:tab w:val="left" w:pos="5387"/>
              </w:tabs>
              <w:spacing w:after="0" w:line="480" w:lineRule="auto"/>
              <w:ind w:left="36"/>
              <w:jc w:val="both"/>
              <w:rPr>
                <w:rFonts w:ascii="Lato" w:hAnsi="Lato" w:cs="Calibri"/>
                <w:b/>
              </w:rPr>
            </w:pPr>
            <w:r w:rsidRPr="00DA59BC">
              <w:rPr>
                <w:rFonts w:ascii="Lato" w:hAnsi="Lato" w:cs="Calibri"/>
                <w:b/>
              </w:rPr>
              <w:t xml:space="preserve">- - - - - - - - - - - - - </w:t>
            </w:r>
          </w:p>
          <w:p w14:paraId="69A72570" w14:textId="77777777" w:rsidR="009470F0" w:rsidRPr="00DA59BC" w:rsidRDefault="009470F0" w:rsidP="00DA59BC">
            <w:pPr>
              <w:tabs>
                <w:tab w:val="left" w:pos="5387"/>
              </w:tabs>
              <w:spacing w:after="0" w:line="480" w:lineRule="auto"/>
              <w:ind w:left="36"/>
              <w:jc w:val="both"/>
              <w:rPr>
                <w:rFonts w:ascii="Lato" w:hAnsi="Lato" w:cs="Calibri"/>
                <w:b/>
              </w:rPr>
            </w:pPr>
            <w:r w:rsidRPr="00DA59BC">
              <w:rPr>
                <w:rFonts w:ascii="Lato" w:hAnsi="Lato" w:cs="Calibri"/>
                <w:b/>
              </w:rPr>
              <w:t>Presente - - - -- -</w:t>
            </w:r>
          </w:p>
        </w:tc>
      </w:tr>
    </w:tbl>
    <w:p w14:paraId="13F51E64" w14:textId="77777777" w:rsidR="00C72591" w:rsidRDefault="00C72591" w:rsidP="00DA59BC">
      <w:pPr>
        <w:spacing w:after="0" w:line="480" w:lineRule="auto"/>
        <w:jc w:val="both"/>
        <w:rPr>
          <w:rFonts w:ascii="Lato" w:hAnsi="Lato" w:cstheme="minorHAnsi"/>
          <w:b/>
        </w:rPr>
      </w:pPr>
    </w:p>
    <w:p w14:paraId="7CF02F21" w14:textId="59B51BB7" w:rsidR="009470F0" w:rsidRPr="00DA59BC" w:rsidRDefault="00464454" w:rsidP="00DA59BC">
      <w:pPr>
        <w:spacing w:after="0" w:line="480" w:lineRule="auto"/>
        <w:jc w:val="both"/>
        <w:rPr>
          <w:rFonts w:ascii="Lato" w:hAnsi="Lato" w:cstheme="minorHAnsi"/>
        </w:rPr>
      </w:pPr>
      <w:r w:rsidRPr="00DA59BC">
        <w:rPr>
          <w:rFonts w:ascii="Lato" w:hAnsi="Lato" w:cstheme="minorHAnsi"/>
          <w:b/>
        </w:rPr>
        <w:t>E</w:t>
      </w:r>
      <w:r w:rsidR="009470F0" w:rsidRPr="00DA59BC">
        <w:rPr>
          <w:rFonts w:ascii="Lato" w:hAnsi="Lato" w:cstheme="minorHAnsi"/>
          <w:b/>
        </w:rPr>
        <w:t xml:space="preserve">n uso de la palabra, la </w:t>
      </w:r>
      <w:proofErr w:type="gramStart"/>
      <w:r w:rsidR="009470F0" w:rsidRPr="00DA59BC">
        <w:rPr>
          <w:rFonts w:ascii="Lato" w:hAnsi="Lato" w:cstheme="minorHAnsi"/>
          <w:b/>
        </w:rPr>
        <w:t>Secretaria Ejecutiva</w:t>
      </w:r>
      <w:proofErr w:type="gramEnd"/>
      <w:r w:rsidR="009470F0" w:rsidRPr="00DA59BC">
        <w:rPr>
          <w:rFonts w:ascii="Lato" w:hAnsi="Lato" w:cstheme="minorHAnsi"/>
          <w:b/>
        </w:rPr>
        <w:t xml:space="preserve"> dijo</w:t>
      </w:r>
      <w:r w:rsidR="009470F0" w:rsidRPr="00DA59BC">
        <w:rPr>
          <w:rFonts w:ascii="Lato" w:hAnsi="Lato" w:cstheme="minorHAnsi"/>
        </w:rPr>
        <w:t xml:space="preserve">: le informo Presidenta que existe quórum legal para sesionar el día de hoy por encontrarse presentes los cinco integrantes de este Consejo; lo anterior, en términos del artículo 67, segundo párrafo, de la Ley Orgánica del Poder Judicial del Estado. </w:t>
      </w:r>
    </w:p>
    <w:p w14:paraId="2923E2FF" w14:textId="77777777" w:rsidR="00DC0355" w:rsidRPr="00DA59BC" w:rsidRDefault="00DC0355" w:rsidP="00DA59BC">
      <w:pPr>
        <w:spacing w:after="0" w:line="480" w:lineRule="auto"/>
        <w:jc w:val="both"/>
        <w:rPr>
          <w:rFonts w:ascii="Lato" w:hAnsi="Lato" w:cstheme="minorHAnsi"/>
        </w:rPr>
      </w:pPr>
    </w:p>
    <w:p w14:paraId="254D0CC3" w14:textId="77777777" w:rsidR="009470F0" w:rsidRPr="00DA59BC" w:rsidRDefault="009470F0" w:rsidP="00DA59BC">
      <w:pPr>
        <w:spacing w:after="0" w:line="480" w:lineRule="auto"/>
        <w:jc w:val="both"/>
        <w:rPr>
          <w:rFonts w:ascii="Lato" w:hAnsi="Lato" w:cstheme="minorHAnsi"/>
        </w:rPr>
      </w:pPr>
      <w:r w:rsidRPr="00DA59BC">
        <w:rPr>
          <w:rFonts w:ascii="Lato" w:hAnsi="Lato" w:cstheme="minorHAnsi"/>
          <w:b/>
        </w:rPr>
        <w:t xml:space="preserve">En uso de la palabra, la Magistrada </w:t>
      </w:r>
      <w:proofErr w:type="gramStart"/>
      <w:r w:rsidRPr="00DA59BC">
        <w:rPr>
          <w:rFonts w:ascii="Lato" w:hAnsi="Lato" w:cstheme="minorHAnsi"/>
          <w:b/>
        </w:rPr>
        <w:t>Presidenta</w:t>
      </w:r>
      <w:proofErr w:type="gramEnd"/>
      <w:r w:rsidRPr="00DA59BC">
        <w:rPr>
          <w:rFonts w:ascii="Lato" w:hAnsi="Lato" w:cstheme="minorHAnsi"/>
          <w:b/>
        </w:rPr>
        <w:t xml:space="preserve"> dijo: </w:t>
      </w:r>
      <w:r w:rsidRPr="00DA59BC">
        <w:rPr>
          <w:rFonts w:ascii="Lato" w:hAnsi="Lato" w:cstheme="minorHAnsi"/>
        </w:rPr>
        <w:t>en razón de existir quórum legal, declaro abierta la presente sesión para que todos los acuerdos que se dicten, tengan la validez que en derecho les corresponde.</w:t>
      </w:r>
    </w:p>
    <w:p w14:paraId="17EF4D6A" w14:textId="3B5C2DBB" w:rsidR="009470F0" w:rsidRPr="00DA59BC" w:rsidRDefault="009470F0" w:rsidP="00DA59BC">
      <w:pPr>
        <w:spacing w:after="0" w:line="480" w:lineRule="auto"/>
        <w:jc w:val="both"/>
        <w:rPr>
          <w:rFonts w:ascii="Lato" w:hAnsi="Lato" w:cstheme="minorHAnsi"/>
        </w:rPr>
      </w:pPr>
      <w:r w:rsidRPr="00DA59BC">
        <w:rPr>
          <w:rFonts w:ascii="Lato" w:hAnsi="Lato" w:cstheme="minorHAnsi"/>
        </w:rPr>
        <w:t>En primer lugar, someto a consideración el orden del día de la convocatoria que les fue entregada</w:t>
      </w:r>
      <w:r w:rsidR="00464454" w:rsidRPr="00DA59BC">
        <w:rPr>
          <w:rFonts w:ascii="Lato" w:hAnsi="Lato" w:cstheme="minorHAnsi"/>
        </w:rPr>
        <w:t xml:space="preserve"> y solicito </w:t>
      </w:r>
      <w:proofErr w:type="spellStart"/>
      <w:r w:rsidR="00464454" w:rsidRPr="00DA59BC">
        <w:rPr>
          <w:rFonts w:ascii="Lato" w:hAnsi="Lato" w:cstheme="minorHAnsi"/>
        </w:rPr>
        <w:t>adendar</w:t>
      </w:r>
      <w:proofErr w:type="spellEnd"/>
      <w:r w:rsidR="00464454" w:rsidRPr="00DA59BC">
        <w:rPr>
          <w:rFonts w:ascii="Lato" w:hAnsi="Lato" w:cstheme="minorHAnsi"/>
        </w:rPr>
        <w:t xml:space="preserve"> la </w:t>
      </w:r>
      <w:r w:rsidR="00DC0355" w:rsidRPr="00DA59BC">
        <w:rPr>
          <w:rFonts w:ascii="Lato" w:hAnsi="Lato" w:cstheme="minorHAnsi"/>
        </w:rPr>
        <w:t>pr</w:t>
      </w:r>
      <w:r w:rsidR="00DC0355" w:rsidRPr="00DA59BC">
        <w:rPr>
          <w:rFonts w:ascii="Lato" w:hAnsi="Lato"/>
        </w:rPr>
        <w:t>opuesta</w:t>
      </w:r>
      <w:r w:rsidR="00464454" w:rsidRPr="00DA59BC">
        <w:rPr>
          <w:rFonts w:ascii="Lato" w:hAnsi="Lato"/>
        </w:rPr>
        <w:t xml:space="preserve"> de la suscrita en mi carácter de Magistrada </w:t>
      </w:r>
      <w:proofErr w:type="gramStart"/>
      <w:r w:rsidR="00464454" w:rsidRPr="00DA59BC">
        <w:rPr>
          <w:rFonts w:ascii="Lato" w:hAnsi="Lato"/>
        </w:rPr>
        <w:t>Presidenta</w:t>
      </w:r>
      <w:proofErr w:type="gramEnd"/>
      <w:r w:rsidR="00464454" w:rsidRPr="00DA59BC">
        <w:rPr>
          <w:rFonts w:ascii="Lato" w:hAnsi="Lato"/>
        </w:rPr>
        <w:t xml:space="preserve"> del Tribunal Superior de Justicia y del Consejo de la Judicatura del Estado, para entrega</w:t>
      </w:r>
      <w:r w:rsidR="00DC0355" w:rsidRPr="00DA59BC">
        <w:rPr>
          <w:rFonts w:ascii="Lato" w:hAnsi="Lato"/>
        </w:rPr>
        <w:t xml:space="preserve">r un </w:t>
      </w:r>
      <w:r w:rsidR="00464454" w:rsidRPr="00DA59BC">
        <w:rPr>
          <w:rFonts w:ascii="Lato" w:hAnsi="Lato"/>
        </w:rPr>
        <w:t>reconocimiento a</w:t>
      </w:r>
      <w:r w:rsidR="00DC0355" w:rsidRPr="00DA59BC">
        <w:rPr>
          <w:rFonts w:ascii="Lato" w:hAnsi="Lato"/>
        </w:rPr>
        <w:t>l</w:t>
      </w:r>
      <w:r w:rsidR="00464454" w:rsidRPr="00DA59BC">
        <w:rPr>
          <w:rFonts w:ascii="Lato" w:hAnsi="Lato"/>
        </w:rPr>
        <w:t xml:space="preserve"> servidor público </w:t>
      </w:r>
      <w:r w:rsidR="00DC0355" w:rsidRPr="00DA59BC">
        <w:rPr>
          <w:rFonts w:ascii="Lato" w:hAnsi="Lato"/>
        </w:rPr>
        <w:t xml:space="preserve">Bonifacio Sánchez Aguilar, </w:t>
      </w:r>
      <w:r w:rsidR="00464454" w:rsidRPr="00DA59BC">
        <w:rPr>
          <w:rFonts w:ascii="Lato" w:hAnsi="Lato"/>
        </w:rPr>
        <w:t>por años de servicio</w:t>
      </w:r>
      <w:r w:rsidRPr="00DA59BC">
        <w:rPr>
          <w:rFonts w:ascii="Lato" w:hAnsi="Lato" w:cstheme="minorHAnsi"/>
        </w:rPr>
        <w:t>.</w:t>
      </w:r>
      <w:r w:rsidR="00BD1A70" w:rsidRPr="00DA59BC">
        <w:rPr>
          <w:rFonts w:ascii="Lato" w:hAnsi="Lato" w:cstheme="minorHAnsi"/>
        </w:rPr>
        <w:t xml:space="preserve"> </w:t>
      </w:r>
      <w:r w:rsidR="00BD1A70" w:rsidRPr="00DA59BC">
        <w:rPr>
          <w:rFonts w:ascii="Lato" w:hAnsi="Lato" w:cstheme="minorHAnsi"/>
          <w:b/>
          <w:bCs/>
          <w:u w:val="single"/>
        </w:rPr>
        <w:t>APROBADO POR UNANIMIDAD DE VOTOS</w:t>
      </w:r>
      <w:r w:rsidR="00BD1A70" w:rsidRPr="00DA59BC">
        <w:rPr>
          <w:rFonts w:ascii="Lato" w:hAnsi="Lato" w:cstheme="minorHAnsi"/>
        </w:rPr>
        <w:t xml:space="preserve">. </w:t>
      </w:r>
    </w:p>
    <w:p w14:paraId="5A532391" w14:textId="77777777" w:rsidR="00DC0355" w:rsidRPr="00DA59BC" w:rsidRDefault="00DC0355" w:rsidP="00DA59BC">
      <w:pPr>
        <w:spacing w:after="0" w:line="480" w:lineRule="auto"/>
        <w:jc w:val="both"/>
        <w:rPr>
          <w:rFonts w:ascii="Lato" w:hAnsi="Lato" w:cstheme="minorHAnsi"/>
          <w:color w:val="000000" w:themeColor="text1"/>
          <w:bdr w:val="none" w:sz="0" w:space="0" w:color="auto" w:frame="1"/>
        </w:rPr>
      </w:pPr>
    </w:p>
    <w:p w14:paraId="3A07C053" w14:textId="430EB701" w:rsidR="00DA59BC" w:rsidRPr="00DA59BC" w:rsidRDefault="00DA59BC" w:rsidP="00532827">
      <w:pPr>
        <w:spacing w:after="0" w:line="480" w:lineRule="auto"/>
        <w:ind w:right="-518" w:firstLine="708"/>
        <w:jc w:val="both"/>
        <w:rPr>
          <w:rFonts w:ascii="Lato" w:hAnsi="Lato"/>
          <w:b/>
          <w:bCs/>
        </w:rPr>
      </w:pPr>
      <w:bookmarkStart w:id="5" w:name="_Hlk161955250"/>
      <w:bookmarkStart w:id="6" w:name="_Hlk161827840"/>
      <w:bookmarkEnd w:id="4"/>
      <w:r w:rsidRPr="00DA59BC">
        <w:rPr>
          <w:rFonts w:ascii="Lato" w:hAnsi="Lato"/>
          <w:b/>
          <w:bCs/>
        </w:rPr>
        <w:t xml:space="preserve">ACUERDO II/28/2024. Oficio número TES/147/2024, recibido el quince de marzo de dos mil veinticuatro, signado por el Tesorero del Poder Judicial del Estado.  </w:t>
      </w:r>
    </w:p>
    <w:p w14:paraId="5669F130" w14:textId="60AE9704" w:rsidR="00DA59BC" w:rsidRPr="00DA59BC" w:rsidRDefault="00DA59BC" w:rsidP="00DA59BC">
      <w:pPr>
        <w:spacing w:line="480" w:lineRule="auto"/>
        <w:ind w:right="-518"/>
        <w:jc w:val="both"/>
        <w:rPr>
          <w:rFonts w:ascii="Lato" w:hAnsi="Lato"/>
        </w:rPr>
      </w:pPr>
      <w:r w:rsidRPr="00DA59BC">
        <w:rPr>
          <w:rFonts w:ascii="Lato" w:hAnsi="Lato"/>
        </w:rPr>
        <w:t xml:space="preserve">Dada cuenta con el oficio de referencia, mediante el cual, en seguimiento al acuerdo IX/17/2024 de este Cuerpo Colegiado, en el que se instruyó al Tesorero del Poder Judicial realizara las gestiones necesarias a fin de atender la carta invitación del Servicio de Administración Tributaria oficio 500-63-00-03-01-2022-1032 de fecha diecisiete de enero y cuantificara las diferencias que existiesen en materia de retenciones de Impuesto Sobre la Renta retenido por salario, relativo al ejercicio fiscal 2019,  </w:t>
      </w:r>
      <w:r w:rsidR="00B72A4F">
        <w:rPr>
          <w:rFonts w:ascii="Lato" w:hAnsi="Lato"/>
        </w:rPr>
        <w:t>en e</w:t>
      </w:r>
      <w:r w:rsidRPr="00DA59BC">
        <w:rPr>
          <w:rFonts w:ascii="Lato" w:hAnsi="Lato"/>
        </w:rPr>
        <w:t>se sentido, el Tesorero informa lo siguiente:</w:t>
      </w:r>
    </w:p>
    <w:p w14:paraId="11D0A0BC" w14:textId="695D5109" w:rsidR="007C15F0" w:rsidRPr="007C15F0" w:rsidRDefault="00DA59BC" w:rsidP="007C15F0">
      <w:pPr>
        <w:pStyle w:val="Prrafodelista"/>
        <w:numPr>
          <w:ilvl w:val="0"/>
          <w:numId w:val="39"/>
        </w:numPr>
        <w:spacing w:after="0" w:line="480" w:lineRule="auto"/>
        <w:ind w:right="-518"/>
        <w:jc w:val="both"/>
        <w:rPr>
          <w:rFonts w:ascii="Lato" w:hAnsi="Lato"/>
        </w:rPr>
      </w:pPr>
      <w:r w:rsidRPr="00DA59BC">
        <w:rPr>
          <w:rFonts w:ascii="Lato" w:hAnsi="Lato"/>
        </w:rPr>
        <w:t>Se procedió a revisar dicho ejercicio para localizar las omisiones, irregularidades y/o inconsistencias en la determinación del ISR a salarios del ejercicio 2019.</w:t>
      </w:r>
    </w:p>
    <w:p w14:paraId="53B531ED" w14:textId="77777777" w:rsidR="00DA59BC" w:rsidRPr="00DA59BC" w:rsidRDefault="00DA59BC" w:rsidP="00DA59BC">
      <w:pPr>
        <w:pStyle w:val="Prrafodelista"/>
        <w:numPr>
          <w:ilvl w:val="0"/>
          <w:numId w:val="39"/>
        </w:numPr>
        <w:spacing w:after="0" w:line="480" w:lineRule="auto"/>
        <w:ind w:right="-518"/>
        <w:jc w:val="both"/>
        <w:rPr>
          <w:rFonts w:ascii="Lato" w:hAnsi="Lato"/>
        </w:rPr>
      </w:pPr>
      <w:r w:rsidRPr="00DA59BC">
        <w:rPr>
          <w:rFonts w:ascii="Lato" w:hAnsi="Lato"/>
        </w:rPr>
        <w:lastRenderedPageBreak/>
        <w:t>En la última reunión de trabajo celebrada el trece de marzo del dos mil veintitrés con el Administrador Desconcentrado de Auditoría Fiscal de Tlaxcala “1” y personal de su adscripción, expusieron los resultados de la revisión para su conciliación con la Autoridad. Una vez realizada, los resultados de ISR retenido a Salarios omitido y accesorios son los siguientes:</w:t>
      </w:r>
    </w:p>
    <w:p w14:paraId="69493B1E" w14:textId="77777777" w:rsidR="00DA59BC" w:rsidRPr="00DA59BC" w:rsidRDefault="00DA59BC" w:rsidP="00DA59BC">
      <w:pPr>
        <w:pStyle w:val="Prrafodelista"/>
        <w:spacing w:after="0" w:line="480" w:lineRule="auto"/>
        <w:ind w:right="-518"/>
        <w:jc w:val="both"/>
        <w:rPr>
          <w:rFonts w:ascii="Lato" w:hAnsi="Lato"/>
        </w:rPr>
      </w:pPr>
    </w:p>
    <w:tbl>
      <w:tblPr>
        <w:tblStyle w:val="Tablaconcuadrcula"/>
        <w:tblW w:w="8784" w:type="dxa"/>
        <w:jc w:val="center"/>
        <w:tblLook w:val="04A0" w:firstRow="1" w:lastRow="0" w:firstColumn="1" w:lastColumn="0" w:noHBand="0" w:noVBand="1"/>
      </w:tblPr>
      <w:tblGrid>
        <w:gridCol w:w="1413"/>
        <w:gridCol w:w="1701"/>
        <w:gridCol w:w="1701"/>
        <w:gridCol w:w="1701"/>
        <w:gridCol w:w="2268"/>
      </w:tblGrid>
      <w:tr w:rsidR="00DA59BC" w:rsidRPr="00182437" w14:paraId="4F103AFE" w14:textId="77777777" w:rsidTr="00DA59BC">
        <w:trPr>
          <w:trHeight w:val="634"/>
          <w:jc w:val="center"/>
        </w:trPr>
        <w:tc>
          <w:tcPr>
            <w:tcW w:w="1413" w:type="dxa"/>
            <w:vAlign w:val="center"/>
            <w:hideMark/>
          </w:tcPr>
          <w:p w14:paraId="396DEEED" w14:textId="77777777" w:rsidR="00DA59BC" w:rsidRPr="00182437" w:rsidRDefault="00DA59BC" w:rsidP="00DA59BC">
            <w:pPr>
              <w:spacing w:line="480" w:lineRule="auto"/>
              <w:ind w:right="96"/>
              <w:jc w:val="center"/>
              <w:rPr>
                <w:rFonts w:ascii="Lato" w:hAnsi="Lato"/>
                <w:b/>
                <w:bCs/>
                <w:sz w:val="20"/>
                <w:szCs w:val="20"/>
              </w:rPr>
            </w:pPr>
            <w:r w:rsidRPr="00182437">
              <w:rPr>
                <w:rFonts w:ascii="Lato" w:hAnsi="Lato"/>
                <w:b/>
                <w:bCs/>
                <w:sz w:val="20"/>
                <w:szCs w:val="20"/>
              </w:rPr>
              <w:t>Mes</w:t>
            </w:r>
          </w:p>
        </w:tc>
        <w:tc>
          <w:tcPr>
            <w:tcW w:w="1701" w:type="dxa"/>
            <w:vAlign w:val="center"/>
            <w:hideMark/>
          </w:tcPr>
          <w:p w14:paraId="4973CBB2" w14:textId="77777777" w:rsidR="00DA59BC" w:rsidRPr="00182437" w:rsidRDefault="00DA59BC" w:rsidP="00DA59BC">
            <w:pPr>
              <w:spacing w:line="480" w:lineRule="auto"/>
              <w:ind w:right="66"/>
              <w:jc w:val="center"/>
              <w:rPr>
                <w:rFonts w:ascii="Lato" w:hAnsi="Lato"/>
                <w:b/>
                <w:bCs/>
                <w:sz w:val="20"/>
                <w:szCs w:val="20"/>
              </w:rPr>
            </w:pPr>
            <w:r w:rsidRPr="00182437">
              <w:rPr>
                <w:rFonts w:ascii="Lato" w:hAnsi="Lato"/>
                <w:b/>
                <w:bCs/>
                <w:sz w:val="20"/>
                <w:szCs w:val="20"/>
              </w:rPr>
              <w:t>ISR Determinado</w:t>
            </w:r>
          </w:p>
        </w:tc>
        <w:tc>
          <w:tcPr>
            <w:tcW w:w="1701" w:type="dxa"/>
            <w:vAlign w:val="center"/>
            <w:hideMark/>
          </w:tcPr>
          <w:p w14:paraId="7A5A3E15" w14:textId="77777777" w:rsidR="00DA59BC" w:rsidRPr="00182437" w:rsidRDefault="00DA59BC" w:rsidP="00DA59BC">
            <w:pPr>
              <w:spacing w:line="480" w:lineRule="auto"/>
              <w:ind w:right="127"/>
              <w:jc w:val="center"/>
              <w:rPr>
                <w:rFonts w:ascii="Lato" w:hAnsi="Lato"/>
                <w:b/>
                <w:bCs/>
                <w:sz w:val="20"/>
                <w:szCs w:val="20"/>
              </w:rPr>
            </w:pPr>
            <w:r w:rsidRPr="00182437">
              <w:rPr>
                <w:rFonts w:ascii="Lato" w:hAnsi="Lato"/>
                <w:b/>
                <w:bCs/>
                <w:sz w:val="20"/>
                <w:szCs w:val="20"/>
              </w:rPr>
              <w:t>Actualización</w:t>
            </w:r>
          </w:p>
        </w:tc>
        <w:tc>
          <w:tcPr>
            <w:tcW w:w="1701" w:type="dxa"/>
            <w:vAlign w:val="center"/>
            <w:hideMark/>
          </w:tcPr>
          <w:p w14:paraId="730CA456" w14:textId="77777777" w:rsidR="00DA59BC" w:rsidRPr="00182437" w:rsidRDefault="00DA59BC" w:rsidP="00DA59BC">
            <w:pPr>
              <w:spacing w:line="480" w:lineRule="auto"/>
              <w:ind w:right="345"/>
              <w:jc w:val="center"/>
              <w:rPr>
                <w:rFonts w:ascii="Lato" w:hAnsi="Lato"/>
                <w:b/>
                <w:bCs/>
                <w:sz w:val="20"/>
                <w:szCs w:val="20"/>
              </w:rPr>
            </w:pPr>
            <w:r w:rsidRPr="00182437">
              <w:rPr>
                <w:rFonts w:ascii="Lato" w:hAnsi="Lato"/>
                <w:b/>
                <w:bCs/>
                <w:sz w:val="20"/>
                <w:szCs w:val="20"/>
              </w:rPr>
              <w:t>Recargos</w:t>
            </w:r>
          </w:p>
        </w:tc>
        <w:tc>
          <w:tcPr>
            <w:tcW w:w="2268" w:type="dxa"/>
            <w:vAlign w:val="center"/>
            <w:hideMark/>
          </w:tcPr>
          <w:p w14:paraId="4709690F" w14:textId="77777777" w:rsidR="00DA59BC" w:rsidRPr="00182437" w:rsidRDefault="00DA59BC" w:rsidP="00DA59BC">
            <w:pPr>
              <w:spacing w:line="480" w:lineRule="auto"/>
              <w:ind w:right="174"/>
              <w:jc w:val="center"/>
              <w:rPr>
                <w:rFonts w:ascii="Lato" w:hAnsi="Lato"/>
                <w:b/>
                <w:bCs/>
                <w:sz w:val="20"/>
                <w:szCs w:val="20"/>
              </w:rPr>
            </w:pPr>
            <w:r w:rsidRPr="00182437">
              <w:rPr>
                <w:rFonts w:ascii="Lato" w:hAnsi="Lato"/>
                <w:b/>
                <w:bCs/>
                <w:sz w:val="20"/>
                <w:szCs w:val="20"/>
              </w:rPr>
              <w:t>IMPORTE A PAGAR</w:t>
            </w:r>
          </w:p>
        </w:tc>
      </w:tr>
      <w:tr w:rsidR="00DA59BC" w:rsidRPr="00182437" w14:paraId="43E636D3" w14:textId="77777777" w:rsidTr="00DA59BC">
        <w:trPr>
          <w:trHeight w:val="375"/>
          <w:jc w:val="center"/>
        </w:trPr>
        <w:tc>
          <w:tcPr>
            <w:tcW w:w="1413" w:type="dxa"/>
            <w:noWrap/>
            <w:hideMark/>
          </w:tcPr>
          <w:p w14:paraId="3CB3F43F"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Enero</w:t>
            </w:r>
          </w:p>
        </w:tc>
        <w:tc>
          <w:tcPr>
            <w:tcW w:w="1701" w:type="dxa"/>
            <w:noWrap/>
            <w:hideMark/>
          </w:tcPr>
          <w:p w14:paraId="5EADE3C9"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436,430.00</w:t>
            </w:r>
          </w:p>
        </w:tc>
        <w:tc>
          <w:tcPr>
            <w:tcW w:w="1701" w:type="dxa"/>
            <w:noWrap/>
            <w:hideMark/>
          </w:tcPr>
          <w:p w14:paraId="50087A20"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129,882.00</w:t>
            </w:r>
          </w:p>
        </w:tc>
        <w:tc>
          <w:tcPr>
            <w:tcW w:w="1701" w:type="dxa"/>
            <w:noWrap/>
            <w:hideMark/>
          </w:tcPr>
          <w:p w14:paraId="7041EAE0"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507,812.00</w:t>
            </w:r>
          </w:p>
        </w:tc>
        <w:tc>
          <w:tcPr>
            <w:tcW w:w="2268" w:type="dxa"/>
            <w:noWrap/>
            <w:hideMark/>
          </w:tcPr>
          <w:p w14:paraId="2BDC77A1" w14:textId="77777777" w:rsidR="00DA59BC" w:rsidRPr="00182437" w:rsidRDefault="00DA59BC" w:rsidP="00DA59BC">
            <w:pPr>
              <w:spacing w:line="480" w:lineRule="auto"/>
              <w:ind w:right="121"/>
              <w:jc w:val="right"/>
              <w:rPr>
                <w:rFonts w:ascii="Lato" w:hAnsi="Lato"/>
                <w:sz w:val="20"/>
                <w:szCs w:val="20"/>
              </w:rPr>
            </w:pPr>
            <w:r w:rsidRPr="00182437">
              <w:rPr>
                <w:rFonts w:ascii="Lato" w:hAnsi="Lato"/>
                <w:sz w:val="20"/>
                <w:szCs w:val="20"/>
              </w:rPr>
              <w:t>1,074,124.00</w:t>
            </w:r>
          </w:p>
        </w:tc>
      </w:tr>
      <w:tr w:rsidR="00DA59BC" w:rsidRPr="00182437" w14:paraId="1E31D0BE" w14:textId="77777777" w:rsidTr="00DA59BC">
        <w:trPr>
          <w:trHeight w:val="375"/>
          <w:jc w:val="center"/>
        </w:trPr>
        <w:tc>
          <w:tcPr>
            <w:tcW w:w="1413" w:type="dxa"/>
            <w:noWrap/>
            <w:hideMark/>
          </w:tcPr>
          <w:p w14:paraId="71D22699"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Febrero</w:t>
            </w:r>
          </w:p>
        </w:tc>
        <w:tc>
          <w:tcPr>
            <w:tcW w:w="1701" w:type="dxa"/>
            <w:noWrap/>
            <w:hideMark/>
          </w:tcPr>
          <w:p w14:paraId="261FB5A4"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271,932.00</w:t>
            </w:r>
          </w:p>
        </w:tc>
        <w:tc>
          <w:tcPr>
            <w:tcW w:w="1701" w:type="dxa"/>
            <w:noWrap/>
            <w:hideMark/>
          </w:tcPr>
          <w:p w14:paraId="29882A5F"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80,628.00</w:t>
            </w:r>
          </w:p>
        </w:tc>
        <w:tc>
          <w:tcPr>
            <w:tcW w:w="1701" w:type="dxa"/>
            <w:noWrap/>
            <w:hideMark/>
          </w:tcPr>
          <w:p w14:paraId="67CE5786"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310,958.00</w:t>
            </w:r>
          </w:p>
        </w:tc>
        <w:tc>
          <w:tcPr>
            <w:tcW w:w="2268" w:type="dxa"/>
            <w:noWrap/>
            <w:hideMark/>
          </w:tcPr>
          <w:p w14:paraId="7200A7C9" w14:textId="77777777" w:rsidR="00DA59BC" w:rsidRPr="00182437" w:rsidRDefault="00DA59BC" w:rsidP="00DA59BC">
            <w:pPr>
              <w:spacing w:line="480" w:lineRule="auto"/>
              <w:ind w:right="121"/>
              <w:jc w:val="right"/>
              <w:rPr>
                <w:rFonts w:ascii="Lato" w:hAnsi="Lato"/>
                <w:sz w:val="20"/>
                <w:szCs w:val="20"/>
              </w:rPr>
            </w:pPr>
            <w:r w:rsidRPr="00182437">
              <w:rPr>
                <w:rFonts w:ascii="Lato" w:hAnsi="Lato"/>
                <w:sz w:val="20"/>
                <w:szCs w:val="20"/>
              </w:rPr>
              <w:t>663,518.00</w:t>
            </w:r>
          </w:p>
        </w:tc>
      </w:tr>
      <w:tr w:rsidR="00DA59BC" w:rsidRPr="00182437" w14:paraId="7A0D8B77" w14:textId="77777777" w:rsidTr="00DA59BC">
        <w:trPr>
          <w:trHeight w:val="375"/>
          <w:jc w:val="center"/>
        </w:trPr>
        <w:tc>
          <w:tcPr>
            <w:tcW w:w="1413" w:type="dxa"/>
            <w:noWrap/>
            <w:hideMark/>
          </w:tcPr>
          <w:p w14:paraId="7821D346"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Marzo</w:t>
            </w:r>
          </w:p>
        </w:tc>
        <w:tc>
          <w:tcPr>
            <w:tcW w:w="1701" w:type="dxa"/>
            <w:noWrap/>
            <w:hideMark/>
          </w:tcPr>
          <w:p w14:paraId="44B324DB"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300,314.00</w:t>
            </w:r>
          </w:p>
        </w:tc>
        <w:tc>
          <w:tcPr>
            <w:tcW w:w="1701" w:type="dxa"/>
            <w:noWrap/>
            <w:hideMark/>
          </w:tcPr>
          <w:p w14:paraId="2799CC49"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89,133.00</w:t>
            </w:r>
          </w:p>
        </w:tc>
        <w:tc>
          <w:tcPr>
            <w:tcW w:w="1701" w:type="dxa"/>
            <w:noWrap/>
            <w:hideMark/>
          </w:tcPr>
          <w:p w14:paraId="523EE77B"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337,767.00</w:t>
            </w:r>
          </w:p>
        </w:tc>
        <w:tc>
          <w:tcPr>
            <w:tcW w:w="2268" w:type="dxa"/>
            <w:noWrap/>
            <w:hideMark/>
          </w:tcPr>
          <w:p w14:paraId="52434727" w14:textId="77777777" w:rsidR="00DA59BC" w:rsidRPr="00182437" w:rsidRDefault="00DA59BC" w:rsidP="00DA59BC">
            <w:pPr>
              <w:spacing w:line="480" w:lineRule="auto"/>
              <w:ind w:right="121"/>
              <w:jc w:val="right"/>
              <w:rPr>
                <w:rFonts w:ascii="Lato" w:hAnsi="Lato"/>
                <w:sz w:val="20"/>
                <w:szCs w:val="20"/>
              </w:rPr>
            </w:pPr>
            <w:r w:rsidRPr="00182437">
              <w:rPr>
                <w:rFonts w:ascii="Lato" w:hAnsi="Lato"/>
                <w:sz w:val="20"/>
                <w:szCs w:val="20"/>
              </w:rPr>
              <w:t>727,214.00</w:t>
            </w:r>
          </w:p>
        </w:tc>
      </w:tr>
      <w:tr w:rsidR="00DA59BC" w:rsidRPr="00182437" w14:paraId="6B51E2E5" w14:textId="77777777" w:rsidTr="00DA59BC">
        <w:trPr>
          <w:trHeight w:val="375"/>
          <w:jc w:val="center"/>
        </w:trPr>
        <w:tc>
          <w:tcPr>
            <w:tcW w:w="1413" w:type="dxa"/>
            <w:noWrap/>
            <w:hideMark/>
          </w:tcPr>
          <w:p w14:paraId="74AC4E70"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Abril</w:t>
            </w:r>
          </w:p>
        </w:tc>
        <w:tc>
          <w:tcPr>
            <w:tcW w:w="1701" w:type="dxa"/>
            <w:noWrap/>
            <w:hideMark/>
          </w:tcPr>
          <w:p w14:paraId="114A026C"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499,132.00</w:t>
            </w:r>
          </w:p>
        </w:tc>
        <w:tc>
          <w:tcPr>
            <w:tcW w:w="1701" w:type="dxa"/>
            <w:noWrap/>
            <w:hideMark/>
          </w:tcPr>
          <w:p w14:paraId="5F4B93B8"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145,697.00</w:t>
            </w:r>
          </w:p>
        </w:tc>
        <w:tc>
          <w:tcPr>
            <w:tcW w:w="1701" w:type="dxa"/>
            <w:noWrap/>
            <w:hideMark/>
          </w:tcPr>
          <w:p w14:paraId="716ED34E"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549,781.00</w:t>
            </w:r>
          </w:p>
        </w:tc>
        <w:tc>
          <w:tcPr>
            <w:tcW w:w="2268" w:type="dxa"/>
            <w:noWrap/>
            <w:hideMark/>
          </w:tcPr>
          <w:p w14:paraId="43AD52E5" w14:textId="77777777" w:rsidR="00DA59BC" w:rsidRPr="00182437" w:rsidRDefault="00DA59BC" w:rsidP="00DA59BC">
            <w:pPr>
              <w:spacing w:line="480" w:lineRule="auto"/>
              <w:ind w:right="121"/>
              <w:jc w:val="right"/>
              <w:rPr>
                <w:rFonts w:ascii="Lato" w:hAnsi="Lato"/>
                <w:sz w:val="20"/>
                <w:szCs w:val="20"/>
              </w:rPr>
            </w:pPr>
            <w:r w:rsidRPr="00182437">
              <w:rPr>
                <w:rFonts w:ascii="Lato" w:hAnsi="Lato"/>
                <w:sz w:val="20"/>
                <w:szCs w:val="20"/>
              </w:rPr>
              <w:t>1,194,610.00</w:t>
            </w:r>
          </w:p>
        </w:tc>
      </w:tr>
      <w:tr w:rsidR="00DA59BC" w:rsidRPr="00182437" w14:paraId="1174D0A7" w14:textId="77777777" w:rsidTr="00DA59BC">
        <w:trPr>
          <w:trHeight w:val="375"/>
          <w:jc w:val="center"/>
        </w:trPr>
        <w:tc>
          <w:tcPr>
            <w:tcW w:w="1413" w:type="dxa"/>
            <w:noWrap/>
            <w:hideMark/>
          </w:tcPr>
          <w:p w14:paraId="3F7A64E0"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Mayo</w:t>
            </w:r>
          </w:p>
        </w:tc>
        <w:tc>
          <w:tcPr>
            <w:tcW w:w="1701" w:type="dxa"/>
            <w:noWrap/>
            <w:hideMark/>
          </w:tcPr>
          <w:p w14:paraId="557CBE9D"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398,662.00</w:t>
            </w:r>
          </w:p>
        </w:tc>
        <w:tc>
          <w:tcPr>
            <w:tcW w:w="1701" w:type="dxa"/>
            <w:noWrap/>
            <w:hideMark/>
          </w:tcPr>
          <w:p w14:paraId="2DA973B0"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116,090.00</w:t>
            </w:r>
          </w:p>
        </w:tc>
        <w:tc>
          <w:tcPr>
            <w:tcW w:w="1701" w:type="dxa"/>
            <w:noWrap/>
            <w:hideMark/>
          </w:tcPr>
          <w:p w14:paraId="58C7FAEE"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431,311.00</w:t>
            </w:r>
          </w:p>
        </w:tc>
        <w:tc>
          <w:tcPr>
            <w:tcW w:w="2268" w:type="dxa"/>
            <w:noWrap/>
            <w:hideMark/>
          </w:tcPr>
          <w:p w14:paraId="0AF26E0E" w14:textId="77777777" w:rsidR="00DA59BC" w:rsidRPr="00182437" w:rsidRDefault="00DA59BC" w:rsidP="00DA59BC">
            <w:pPr>
              <w:spacing w:line="480" w:lineRule="auto"/>
              <w:ind w:right="121"/>
              <w:jc w:val="right"/>
              <w:rPr>
                <w:rFonts w:ascii="Lato" w:hAnsi="Lato"/>
                <w:sz w:val="20"/>
                <w:szCs w:val="20"/>
              </w:rPr>
            </w:pPr>
            <w:r w:rsidRPr="00182437">
              <w:rPr>
                <w:rFonts w:ascii="Lato" w:hAnsi="Lato"/>
                <w:sz w:val="20"/>
                <w:szCs w:val="20"/>
              </w:rPr>
              <w:t>946,063.00</w:t>
            </w:r>
          </w:p>
        </w:tc>
      </w:tr>
      <w:tr w:rsidR="00DA59BC" w:rsidRPr="00182437" w14:paraId="765F0537" w14:textId="77777777" w:rsidTr="00DA59BC">
        <w:trPr>
          <w:trHeight w:val="375"/>
          <w:jc w:val="center"/>
        </w:trPr>
        <w:tc>
          <w:tcPr>
            <w:tcW w:w="1413" w:type="dxa"/>
            <w:noWrap/>
            <w:hideMark/>
          </w:tcPr>
          <w:p w14:paraId="497547AC"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Junio</w:t>
            </w:r>
          </w:p>
        </w:tc>
        <w:tc>
          <w:tcPr>
            <w:tcW w:w="1701" w:type="dxa"/>
            <w:noWrap/>
            <w:hideMark/>
          </w:tcPr>
          <w:p w14:paraId="334B6362"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466,729.00</w:t>
            </w:r>
          </w:p>
        </w:tc>
        <w:tc>
          <w:tcPr>
            <w:tcW w:w="1701" w:type="dxa"/>
            <w:noWrap/>
            <w:hideMark/>
          </w:tcPr>
          <w:p w14:paraId="6E306E88"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137,638.00</w:t>
            </w:r>
          </w:p>
        </w:tc>
        <w:tc>
          <w:tcPr>
            <w:tcW w:w="1701" w:type="dxa"/>
            <w:noWrap/>
            <w:hideMark/>
          </w:tcPr>
          <w:p w14:paraId="530D3FA1"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497,515.00</w:t>
            </w:r>
          </w:p>
        </w:tc>
        <w:tc>
          <w:tcPr>
            <w:tcW w:w="2268" w:type="dxa"/>
            <w:noWrap/>
            <w:hideMark/>
          </w:tcPr>
          <w:p w14:paraId="3E4EF6CE" w14:textId="77777777" w:rsidR="00DA59BC" w:rsidRPr="00182437" w:rsidRDefault="00DA59BC" w:rsidP="00DA59BC">
            <w:pPr>
              <w:spacing w:line="480" w:lineRule="auto"/>
              <w:ind w:right="121"/>
              <w:jc w:val="right"/>
              <w:rPr>
                <w:rFonts w:ascii="Lato" w:hAnsi="Lato"/>
                <w:sz w:val="20"/>
                <w:szCs w:val="20"/>
              </w:rPr>
            </w:pPr>
            <w:r w:rsidRPr="00182437">
              <w:rPr>
                <w:rFonts w:ascii="Lato" w:hAnsi="Lato"/>
                <w:sz w:val="20"/>
                <w:szCs w:val="20"/>
              </w:rPr>
              <w:t>1,101,882.00</w:t>
            </w:r>
          </w:p>
        </w:tc>
      </w:tr>
      <w:tr w:rsidR="00DA59BC" w:rsidRPr="00182437" w14:paraId="2227C286" w14:textId="77777777" w:rsidTr="00DA59BC">
        <w:trPr>
          <w:trHeight w:val="375"/>
          <w:jc w:val="center"/>
        </w:trPr>
        <w:tc>
          <w:tcPr>
            <w:tcW w:w="1413" w:type="dxa"/>
            <w:noWrap/>
            <w:hideMark/>
          </w:tcPr>
          <w:p w14:paraId="3657FAA7"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Julio</w:t>
            </w:r>
          </w:p>
        </w:tc>
        <w:tc>
          <w:tcPr>
            <w:tcW w:w="1701" w:type="dxa"/>
            <w:noWrap/>
            <w:hideMark/>
          </w:tcPr>
          <w:p w14:paraId="6837B341"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734,158.00</w:t>
            </w:r>
          </w:p>
        </w:tc>
        <w:tc>
          <w:tcPr>
            <w:tcW w:w="1701" w:type="dxa"/>
            <w:noWrap/>
            <w:hideMark/>
          </w:tcPr>
          <w:p w14:paraId="3BE4B59B"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215,916.00</w:t>
            </w:r>
          </w:p>
        </w:tc>
        <w:tc>
          <w:tcPr>
            <w:tcW w:w="1701" w:type="dxa"/>
            <w:noWrap/>
            <w:hideMark/>
          </w:tcPr>
          <w:p w14:paraId="5017D1DA"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768,135.00</w:t>
            </w:r>
          </w:p>
        </w:tc>
        <w:tc>
          <w:tcPr>
            <w:tcW w:w="2268" w:type="dxa"/>
            <w:noWrap/>
            <w:hideMark/>
          </w:tcPr>
          <w:p w14:paraId="3CDA6A2B" w14:textId="77777777" w:rsidR="00DA59BC" w:rsidRPr="00182437" w:rsidRDefault="00DA59BC" w:rsidP="00DA59BC">
            <w:pPr>
              <w:spacing w:line="480" w:lineRule="auto"/>
              <w:ind w:right="121"/>
              <w:jc w:val="right"/>
              <w:rPr>
                <w:rFonts w:ascii="Lato" w:hAnsi="Lato"/>
                <w:sz w:val="20"/>
                <w:szCs w:val="20"/>
              </w:rPr>
            </w:pPr>
            <w:r w:rsidRPr="00182437">
              <w:rPr>
                <w:rFonts w:ascii="Lato" w:hAnsi="Lato"/>
                <w:sz w:val="20"/>
                <w:szCs w:val="20"/>
              </w:rPr>
              <w:t>1,718,209.00</w:t>
            </w:r>
          </w:p>
        </w:tc>
      </w:tr>
      <w:tr w:rsidR="00DA59BC" w:rsidRPr="00182437" w14:paraId="6D1E6237" w14:textId="77777777" w:rsidTr="00DA59BC">
        <w:trPr>
          <w:trHeight w:val="375"/>
          <w:jc w:val="center"/>
        </w:trPr>
        <w:tc>
          <w:tcPr>
            <w:tcW w:w="1413" w:type="dxa"/>
            <w:noWrap/>
          </w:tcPr>
          <w:p w14:paraId="6A5E4C6B"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Agosto</w:t>
            </w:r>
          </w:p>
        </w:tc>
        <w:tc>
          <w:tcPr>
            <w:tcW w:w="1701" w:type="dxa"/>
            <w:noWrap/>
          </w:tcPr>
          <w:p w14:paraId="3EA6987C"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438,039.00</w:t>
            </w:r>
          </w:p>
        </w:tc>
        <w:tc>
          <w:tcPr>
            <w:tcW w:w="1701" w:type="dxa"/>
            <w:noWrap/>
          </w:tcPr>
          <w:p w14:paraId="1834B14E"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126,681.00</w:t>
            </w:r>
          </w:p>
        </w:tc>
        <w:tc>
          <w:tcPr>
            <w:tcW w:w="1701" w:type="dxa"/>
            <w:noWrap/>
          </w:tcPr>
          <w:p w14:paraId="3882B229"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448,275.00</w:t>
            </w:r>
          </w:p>
        </w:tc>
        <w:tc>
          <w:tcPr>
            <w:tcW w:w="2268" w:type="dxa"/>
            <w:noWrap/>
          </w:tcPr>
          <w:p w14:paraId="08F9AAE9" w14:textId="77777777" w:rsidR="00DA59BC" w:rsidRPr="00182437" w:rsidRDefault="00DA59BC" w:rsidP="00DA59BC">
            <w:pPr>
              <w:spacing w:line="480" w:lineRule="auto"/>
              <w:ind w:right="121"/>
              <w:jc w:val="right"/>
              <w:rPr>
                <w:rFonts w:ascii="Lato" w:hAnsi="Lato"/>
                <w:sz w:val="20"/>
                <w:szCs w:val="20"/>
              </w:rPr>
            </w:pPr>
            <w:r w:rsidRPr="00182437">
              <w:rPr>
                <w:rFonts w:ascii="Lato" w:hAnsi="Lato"/>
                <w:sz w:val="20"/>
                <w:szCs w:val="20"/>
              </w:rPr>
              <w:t>1,012,995.00</w:t>
            </w:r>
          </w:p>
        </w:tc>
      </w:tr>
      <w:tr w:rsidR="00DA59BC" w:rsidRPr="00182437" w14:paraId="29854E57" w14:textId="77777777" w:rsidTr="00DA59BC">
        <w:trPr>
          <w:trHeight w:val="375"/>
          <w:jc w:val="center"/>
        </w:trPr>
        <w:tc>
          <w:tcPr>
            <w:tcW w:w="1413" w:type="dxa"/>
            <w:noWrap/>
          </w:tcPr>
          <w:p w14:paraId="41AAD350"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Septiembre</w:t>
            </w:r>
          </w:p>
        </w:tc>
        <w:tc>
          <w:tcPr>
            <w:tcW w:w="1701" w:type="dxa"/>
            <w:noWrap/>
          </w:tcPr>
          <w:p w14:paraId="51797D4D"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437,110.00</w:t>
            </w:r>
          </w:p>
        </w:tc>
        <w:tc>
          <w:tcPr>
            <w:tcW w:w="1701" w:type="dxa"/>
            <w:noWrap/>
          </w:tcPr>
          <w:p w14:paraId="3CC8D9A0"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126,500.00</w:t>
            </w:r>
          </w:p>
        </w:tc>
        <w:tc>
          <w:tcPr>
            <w:tcW w:w="1701" w:type="dxa"/>
            <w:noWrap/>
          </w:tcPr>
          <w:p w14:paraId="0051A320"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439,109.00</w:t>
            </w:r>
          </w:p>
        </w:tc>
        <w:tc>
          <w:tcPr>
            <w:tcW w:w="2268" w:type="dxa"/>
            <w:noWrap/>
          </w:tcPr>
          <w:p w14:paraId="56EBA77D" w14:textId="77777777" w:rsidR="00DA59BC" w:rsidRPr="00182437" w:rsidRDefault="00DA59BC" w:rsidP="00DA59BC">
            <w:pPr>
              <w:spacing w:line="480" w:lineRule="auto"/>
              <w:ind w:right="121"/>
              <w:jc w:val="right"/>
              <w:rPr>
                <w:rFonts w:ascii="Lato" w:hAnsi="Lato"/>
                <w:sz w:val="20"/>
                <w:szCs w:val="20"/>
              </w:rPr>
            </w:pPr>
            <w:r w:rsidRPr="00182437">
              <w:rPr>
                <w:rFonts w:ascii="Lato" w:hAnsi="Lato"/>
                <w:sz w:val="20"/>
                <w:szCs w:val="20"/>
              </w:rPr>
              <w:t>1,002,719.00</w:t>
            </w:r>
          </w:p>
        </w:tc>
      </w:tr>
      <w:tr w:rsidR="00DA59BC" w:rsidRPr="00182437" w14:paraId="00CC53AB" w14:textId="77777777" w:rsidTr="00DA59BC">
        <w:trPr>
          <w:trHeight w:val="375"/>
          <w:jc w:val="center"/>
        </w:trPr>
        <w:tc>
          <w:tcPr>
            <w:tcW w:w="1413" w:type="dxa"/>
            <w:noWrap/>
          </w:tcPr>
          <w:p w14:paraId="7A1B1EFE"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Octubre</w:t>
            </w:r>
          </w:p>
        </w:tc>
        <w:tc>
          <w:tcPr>
            <w:tcW w:w="1701" w:type="dxa"/>
            <w:noWrap/>
          </w:tcPr>
          <w:p w14:paraId="7D80E9BC"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754,845.00</w:t>
            </w:r>
          </w:p>
        </w:tc>
        <w:tc>
          <w:tcPr>
            <w:tcW w:w="1701" w:type="dxa"/>
            <w:noWrap/>
          </w:tcPr>
          <w:p w14:paraId="5593CE0D"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215,961.00</w:t>
            </w:r>
          </w:p>
        </w:tc>
        <w:tc>
          <w:tcPr>
            <w:tcW w:w="1701" w:type="dxa"/>
            <w:noWrap/>
          </w:tcPr>
          <w:p w14:paraId="2254B333"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742,084.00</w:t>
            </w:r>
          </w:p>
        </w:tc>
        <w:tc>
          <w:tcPr>
            <w:tcW w:w="2268" w:type="dxa"/>
            <w:noWrap/>
          </w:tcPr>
          <w:p w14:paraId="266B6347" w14:textId="77777777" w:rsidR="00DA59BC" w:rsidRPr="00182437" w:rsidRDefault="00DA59BC" w:rsidP="00DA59BC">
            <w:pPr>
              <w:spacing w:line="480" w:lineRule="auto"/>
              <w:ind w:right="121"/>
              <w:jc w:val="right"/>
              <w:rPr>
                <w:rFonts w:ascii="Lato" w:hAnsi="Lato"/>
                <w:sz w:val="20"/>
                <w:szCs w:val="20"/>
              </w:rPr>
            </w:pPr>
            <w:r w:rsidRPr="00182437">
              <w:rPr>
                <w:rFonts w:ascii="Lato" w:hAnsi="Lato"/>
                <w:sz w:val="20"/>
                <w:szCs w:val="20"/>
              </w:rPr>
              <w:t>1,712,890.00</w:t>
            </w:r>
          </w:p>
        </w:tc>
      </w:tr>
      <w:tr w:rsidR="00DA59BC" w:rsidRPr="00182437" w14:paraId="7BA9B720" w14:textId="77777777" w:rsidTr="00DA59BC">
        <w:trPr>
          <w:trHeight w:val="375"/>
          <w:jc w:val="center"/>
        </w:trPr>
        <w:tc>
          <w:tcPr>
            <w:tcW w:w="1413" w:type="dxa"/>
            <w:noWrap/>
          </w:tcPr>
          <w:p w14:paraId="39B2756D"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Noviembre</w:t>
            </w:r>
          </w:p>
        </w:tc>
        <w:tc>
          <w:tcPr>
            <w:tcW w:w="1701" w:type="dxa"/>
            <w:noWrap/>
          </w:tcPr>
          <w:p w14:paraId="0E4FBA2F"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448,907.00</w:t>
            </w:r>
          </w:p>
        </w:tc>
        <w:tc>
          <w:tcPr>
            <w:tcW w:w="1701" w:type="dxa"/>
            <w:noWrap/>
          </w:tcPr>
          <w:p w14:paraId="23A64503"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125,335.00</w:t>
            </w:r>
          </w:p>
        </w:tc>
        <w:tc>
          <w:tcPr>
            <w:tcW w:w="1701" w:type="dxa"/>
            <w:noWrap/>
          </w:tcPr>
          <w:p w14:paraId="3CB256D0"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430,509.00</w:t>
            </w:r>
          </w:p>
        </w:tc>
        <w:tc>
          <w:tcPr>
            <w:tcW w:w="2268" w:type="dxa"/>
            <w:noWrap/>
          </w:tcPr>
          <w:p w14:paraId="20B9316C" w14:textId="77777777" w:rsidR="00DA59BC" w:rsidRPr="00182437" w:rsidRDefault="00DA59BC" w:rsidP="00DA59BC">
            <w:pPr>
              <w:spacing w:line="480" w:lineRule="auto"/>
              <w:ind w:right="121"/>
              <w:jc w:val="right"/>
              <w:rPr>
                <w:rFonts w:ascii="Lato" w:hAnsi="Lato"/>
                <w:sz w:val="20"/>
                <w:szCs w:val="20"/>
              </w:rPr>
            </w:pPr>
            <w:r w:rsidRPr="00182437">
              <w:rPr>
                <w:rFonts w:ascii="Lato" w:hAnsi="Lato"/>
                <w:sz w:val="20"/>
                <w:szCs w:val="20"/>
              </w:rPr>
              <w:t>1,004,751.00</w:t>
            </w:r>
          </w:p>
        </w:tc>
      </w:tr>
      <w:tr w:rsidR="00DA59BC" w:rsidRPr="00182437" w14:paraId="111BC3A3" w14:textId="77777777" w:rsidTr="00DA59BC">
        <w:trPr>
          <w:trHeight w:val="375"/>
          <w:jc w:val="center"/>
        </w:trPr>
        <w:tc>
          <w:tcPr>
            <w:tcW w:w="1413" w:type="dxa"/>
            <w:noWrap/>
          </w:tcPr>
          <w:p w14:paraId="38E33DFD"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Diciembre</w:t>
            </w:r>
          </w:p>
        </w:tc>
        <w:tc>
          <w:tcPr>
            <w:tcW w:w="1701" w:type="dxa"/>
            <w:noWrap/>
          </w:tcPr>
          <w:p w14:paraId="00CDD407"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1,640,692.00</w:t>
            </w:r>
          </w:p>
        </w:tc>
        <w:tc>
          <w:tcPr>
            <w:tcW w:w="1701" w:type="dxa"/>
            <w:noWrap/>
          </w:tcPr>
          <w:p w14:paraId="734BBE19"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441,182.00</w:t>
            </w:r>
          </w:p>
        </w:tc>
        <w:tc>
          <w:tcPr>
            <w:tcW w:w="1701" w:type="dxa"/>
            <w:noWrap/>
          </w:tcPr>
          <w:p w14:paraId="3BC8AFB5" w14:textId="77777777" w:rsidR="00DA59BC" w:rsidRPr="00182437" w:rsidRDefault="00DA59BC" w:rsidP="00DA59BC">
            <w:pPr>
              <w:spacing w:line="480" w:lineRule="auto"/>
              <w:ind w:right="-518"/>
              <w:jc w:val="both"/>
              <w:rPr>
                <w:rFonts w:ascii="Lato" w:hAnsi="Lato"/>
                <w:sz w:val="20"/>
                <w:szCs w:val="20"/>
              </w:rPr>
            </w:pPr>
            <w:r w:rsidRPr="00182437">
              <w:rPr>
                <w:rFonts w:ascii="Lato" w:hAnsi="Lato"/>
                <w:sz w:val="20"/>
                <w:szCs w:val="20"/>
              </w:rPr>
              <w:t>1,530,177.00</w:t>
            </w:r>
          </w:p>
        </w:tc>
        <w:tc>
          <w:tcPr>
            <w:tcW w:w="2268" w:type="dxa"/>
            <w:noWrap/>
          </w:tcPr>
          <w:p w14:paraId="1D09840E" w14:textId="77777777" w:rsidR="00DA59BC" w:rsidRPr="00182437" w:rsidRDefault="00DA59BC" w:rsidP="00DA59BC">
            <w:pPr>
              <w:spacing w:line="480" w:lineRule="auto"/>
              <w:ind w:right="121"/>
              <w:jc w:val="right"/>
              <w:rPr>
                <w:rFonts w:ascii="Lato" w:hAnsi="Lato"/>
                <w:sz w:val="20"/>
                <w:szCs w:val="20"/>
              </w:rPr>
            </w:pPr>
            <w:r w:rsidRPr="00182437">
              <w:rPr>
                <w:rFonts w:ascii="Lato" w:hAnsi="Lato"/>
                <w:sz w:val="20"/>
                <w:szCs w:val="20"/>
              </w:rPr>
              <w:t>3,612,051.00</w:t>
            </w:r>
          </w:p>
        </w:tc>
      </w:tr>
      <w:tr w:rsidR="00DA59BC" w:rsidRPr="00182437" w14:paraId="6BB93D0B" w14:textId="77777777" w:rsidTr="00DA59BC">
        <w:trPr>
          <w:trHeight w:val="375"/>
          <w:jc w:val="center"/>
        </w:trPr>
        <w:tc>
          <w:tcPr>
            <w:tcW w:w="1413" w:type="dxa"/>
            <w:noWrap/>
          </w:tcPr>
          <w:p w14:paraId="712D00AE" w14:textId="77777777" w:rsidR="00DA59BC" w:rsidRPr="00182437" w:rsidRDefault="00DA59BC" w:rsidP="00DA59BC">
            <w:pPr>
              <w:spacing w:line="480" w:lineRule="auto"/>
              <w:ind w:right="-518"/>
              <w:jc w:val="both"/>
              <w:rPr>
                <w:rFonts w:ascii="Lato" w:hAnsi="Lato"/>
                <w:sz w:val="20"/>
                <w:szCs w:val="20"/>
              </w:rPr>
            </w:pPr>
            <w:r w:rsidRPr="00182437">
              <w:rPr>
                <w:rFonts w:ascii="Lato" w:hAnsi="Lato"/>
                <w:b/>
                <w:bCs/>
                <w:sz w:val="20"/>
                <w:szCs w:val="20"/>
              </w:rPr>
              <w:t>Sumas</w:t>
            </w:r>
          </w:p>
        </w:tc>
        <w:tc>
          <w:tcPr>
            <w:tcW w:w="1701" w:type="dxa"/>
            <w:noWrap/>
          </w:tcPr>
          <w:p w14:paraId="66800374" w14:textId="77777777" w:rsidR="00DA59BC" w:rsidRPr="00182437" w:rsidRDefault="00DA59BC" w:rsidP="00DA59BC">
            <w:pPr>
              <w:spacing w:line="480" w:lineRule="auto"/>
              <w:ind w:right="-518"/>
              <w:jc w:val="both"/>
              <w:rPr>
                <w:rFonts w:ascii="Lato" w:hAnsi="Lato"/>
                <w:sz w:val="20"/>
                <w:szCs w:val="20"/>
              </w:rPr>
            </w:pPr>
            <w:r w:rsidRPr="00182437">
              <w:rPr>
                <w:rFonts w:ascii="Lato" w:hAnsi="Lato"/>
                <w:b/>
                <w:bCs/>
                <w:sz w:val="20"/>
                <w:szCs w:val="20"/>
              </w:rPr>
              <w:t>6,826,950.00</w:t>
            </w:r>
          </w:p>
        </w:tc>
        <w:tc>
          <w:tcPr>
            <w:tcW w:w="1701" w:type="dxa"/>
            <w:noWrap/>
          </w:tcPr>
          <w:p w14:paraId="581156E0" w14:textId="77777777" w:rsidR="00DA59BC" w:rsidRPr="00182437" w:rsidRDefault="00DA59BC" w:rsidP="00DA59BC">
            <w:pPr>
              <w:spacing w:line="480" w:lineRule="auto"/>
              <w:ind w:right="-518"/>
              <w:jc w:val="both"/>
              <w:rPr>
                <w:rFonts w:ascii="Lato" w:hAnsi="Lato"/>
                <w:sz w:val="20"/>
                <w:szCs w:val="20"/>
              </w:rPr>
            </w:pPr>
            <w:r w:rsidRPr="00182437">
              <w:rPr>
                <w:rFonts w:ascii="Lato" w:hAnsi="Lato"/>
                <w:b/>
                <w:bCs/>
                <w:sz w:val="20"/>
                <w:szCs w:val="20"/>
              </w:rPr>
              <w:t>1,950,643.00</w:t>
            </w:r>
          </w:p>
        </w:tc>
        <w:tc>
          <w:tcPr>
            <w:tcW w:w="1701" w:type="dxa"/>
            <w:noWrap/>
          </w:tcPr>
          <w:p w14:paraId="2C3EB222" w14:textId="77777777" w:rsidR="00DA59BC" w:rsidRPr="00182437" w:rsidRDefault="00DA59BC" w:rsidP="00DA59BC">
            <w:pPr>
              <w:spacing w:line="480" w:lineRule="auto"/>
              <w:ind w:right="-518"/>
              <w:jc w:val="both"/>
              <w:rPr>
                <w:rFonts w:ascii="Lato" w:hAnsi="Lato"/>
                <w:sz w:val="20"/>
                <w:szCs w:val="20"/>
              </w:rPr>
            </w:pPr>
            <w:r w:rsidRPr="00182437">
              <w:rPr>
                <w:rFonts w:ascii="Lato" w:hAnsi="Lato"/>
                <w:b/>
                <w:bCs/>
                <w:sz w:val="20"/>
                <w:szCs w:val="20"/>
              </w:rPr>
              <w:t>6,993,433.00</w:t>
            </w:r>
          </w:p>
        </w:tc>
        <w:tc>
          <w:tcPr>
            <w:tcW w:w="2268" w:type="dxa"/>
            <w:noWrap/>
          </w:tcPr>
          <w:p w14:paraId="7C448542" w14:textId="77777777" w:rsidR="00DA59BC" w:rsidRPr="00182437" w:rsidRDefault="00DA59BC" w:rsidP="00DA59BC">
            <w:pPr>
              <w:spacing w:line="480" w:lineRule="auto"/>
              <w:ind w:right="121"/>
              <w:jc w:val="right"/>
              <w:rPr>
                <w:rFonts w:ascii="Lato" w:hAnsi="Lato"/>
                <w:sz w:val="20"/>
                <w:szCs w:val="20"/>
              </w:rPr>
            </w:pPr>
            <w:r w:rsidRPr="00182437">
              <w:rPr>
                <w:rFonts w:ascii="Lato" w:hAnsi="Lato"/>
                <w:b/>
                <w:bCs/>
                <w:sz w:val="20"/>
                <w:szCs w:val="20"/>
              </w:rPr>
              <w:t>15,771,026.00</w:t>
            </w:r>
          </w:p>
        </w:tc>
      </w:tr>
    </w:tbl>
    <w:p w14:paraId="244619A9" w14:textId="77777777" w:rsidR="00DA59BC" w:rsidRDefault="00DA59BC" w:rsidP="00DA59BC">
      <w:pPr>
        <w:pStyle w:val="Prrafodelista"/>
        <w:spacing w:after="0" w:line="480" w:lineRule="auto"/>
        <w:ind w:right="-518"/>
        <w:jc w:val="both"/>
        <w:rPr>
          <w:rFonts w:ascii="Lato" w:hAnsi="Lato"/>
        </w:rPr>
      </w:pPr>
    </w:p>
    <w:p w14:paraId="3C67C9CE" w14:textId="4FE52194" w:rsidR="00DA59BC" w:rsidRPr="00DA59BC" w:rsidRDefault="00DA59BC" w:rsidP="00DA59BC">
      <w:pPr>
        <w:pStyle w:val="Prrafodelista"/>
        <w:numPr>
          <w:ilvl w:val="0"/>
          <w:numId w:val="40"/>
        </w:numPr>
        <w:spacing w:after="0" w:line="480" w:lineRule="auto"/>
        <w:ind w:right="-518"/>
        <w:jc w:val="both"/>
        <w:rPr>
          <w:rFonts w:ascii="Lato" w:hAnsi="Lato"/>
        </w:rPr>
      </w:pPr>
      <w:r w:rsidRPr="00DA59BC">
        <w:rPr>
          <w:rFonts w:ascii="Lato" w:hAnsi="Lato"/>
        </w:rPr>
        <w:t xml:space="preserve">Las diferencias encontradas son originadas principalmente por partidas que en su momento no fueron categorizadas como objeto del Impuesto: Despensa, </w:t>
      </w:r>
      <w:r w:rsidRPr="00DA59BC">
        <w:rPr>
          <w:rFonts w:ascii="Lato" w:hAnsi="Lato"/>
        </w:rPr>
        <w:lastRenderedPageBreak/>
        <w:t>Quinquenio y otras prestaciones, así como del ajuste mensual al ISR retenido a Salarios.</w:t>
      </w:r>
    </w:p>
    <w:p w14:paraId="74B5B295" w14:textId="77777777" w:rsidR="00DA59BC" w:rsidRPr="00DA59BC" w:rsidRDefault="00DA59BC" w:rsidP="00182437">
      <w:pPr>
        <w:pStyle w:val="Prrafodelista"/>
        <w:spacing w:after="0" w:line="240" w:lineRule="auto"/>
        <w:ind w:right="-518"/>
        <w:jc w:val="both"/>
        <w:rPr>
          <w:rFonts w:ascii="Lato" w:hAnsi="Lato"/>
        </w:rPr>
      </w:pPr>
    </w:p>
    <w:p w14:paraId="2651B871" w14:textId="72662A6D" w:rsidR="00B84FBA" w:rsidRDefault="00DA59BC" w:rsidP="00182437">
      <w:pPr>
        <w:spacing w:after="0" w:line="480" w:lineRule="auto"/>
        <w:ind w:right="-518"/>
        <w:jc w:val="both"/>
        <w:rPr>
          <w:rFonts w:ascii="Lato" w:hAnsi="Lato"/>
        </w:rPr>
      </w:pPr>
      <w:r w:rsidRPr="00DA59BC">
        <w:rPr>
          <w:rFonts w:ascii="Lato" w:hAnsi="Lato"/>
        </w:rPr>
        <w:t>En ese sentido, solicita se realice el pago inmediato, pues de no realizarse dañaría el patrimonio del Honorable Tribunal, porque se tendría que pagar además de las cantidades determinadas, las sanciones administrativas de contribución omitidas y un incremento de dicha multa; corriendo el riesgo de que el monto a corregir se llegue a duplicar en su importe, conduciendo a un daño patrimonial mayor al ya determinado en la carta invitación.</w:t>
      </w:r>
    </w:p>
    <w:p w14:paraId="547682AB" w14:textId="77777777" w:rsidR="00182437" w:rsidRDefault="00182437" w:rsidP="00182437">
      <w:pPr>
        <w:spacing w:after="0" w:line="240" w:lineRule="auto"/>
        <w:ind w:right="-518"/>
        <w:jc w:val="both"/>
        <w:rPr>
          <w:rFonts w:ascii="Lato" w:hAnsi="Lato"/>
        </w:rPr>
      </w:pPr>
    </w:p>
    <w:p w14:paraId="53B7F4FA" w14:textId="0D2D84F1" w:rsidR="00DA59BC" w:rsidRPr="00DA59BC" w:rsidRDefault="00DA59BC" w:rsidP="00DA59BC">
      <w:pPr>
        <w:spacing w:line="480" w:lineRule="auto"/>
        <w:ind w:right="-518"/>
        <w:jc w:val="both"/>
        <w:rPr>
          <w:rFonts w:ascii="Lato" w:hAnsi="Lato"/>
        </w:rPr>
      </w:pPr>
      <w:r w:rsidRPr="00DA59BC">
        <w:rPr>
          <w:rFonts w:ascii="Lato" w:hAnsi="Lato"/>
        </w:rPr>
        <w:t>En el supuesto de que se autorice el pago correspondiente por las diferencias de retención de ISR a salarios, solicita se autorice la modificación del Presupuesto de Ingresos y Egresos 2024, de la siguiente manera:</w:t>
      </w:r>
    </w:p>
    <w:p w14:paraId="0B1F063A" w14:textId="77777777" w:rsidR="00DA59BC" w:rsidRPr="00DA59BC" w:rsidRDefault="00DA59BC" w:rsidP="00C07DA9">
      <w:pPr>
        <w:pStyle w:val="Prrafodelista"/>
        <w:numPr>
          <w:ilvl w:val="0"/>
          <w:numId w:val="49"/>
        </w:numPr>
        <w:spacing w:after="0" w:line="480" w:lineRule="auto"/>
        <w:ind w:left="1418" w:right="-518" w:hanging="317"/>
        <w:jc w:val="both"/>
        <w:rPr>
          <w:rFonts w:ascii="Lato" w:hAnsi="Lato"/>
        </w:rPr>
      </w:pPr>
      <w:r w:rsidRPr="00DA59BC">
        <w:rPr>
          <w:rFonts w:ascii="Lato" w:hAnsi="Lato"/>
          <w:b/>
          <w:bCs/>
        </w:rPr>
        <w:t>Modificación al Presupuesto de Egresos 2024</w:t>
      </w:r>
    </w:p>
    <w:p w14:paraId="403E8429" w14:textId="77777777" w:rsidR="00DA59BC" w:rsidRPr="00DA59BC" w:rsidRDefault="00DA59BC" w:rsidP="00C07DA9">
      <w:pPr>
        <w:pStyle w:val="Prrafodelista"/>
        <w:spacing w:line="480" w:lineRule="auto"/>
        <w:ind w:left="1134" w:right="-518" w:firstLine="990"/>
        <w:jc w:val="both"/>
        <w:rPr>
          <w:rFonts w:ascii="Lato" w:hAnsi="Lato"/>
        </w:rPr>
      </w:pPr>
      <w:r w:rsidRPr="00DA59BC">
        <w:rPr>
          <w:rFonts w:ascii="Lato" w:hAnsi="Lato"/>
          <w:b/>
          <w:bCs/>
        </w:rPr>
        <w:t>Traspaso Presupuestal</w:t>
      </w:r>
    </w:p>
    <w:p w14:paraId="3960EF5D" w14:textId="77777777" w:rsidR="00DA59BC" w:rsidRPr="00DA59BC" w:rsidRDefault="00DA59BC" w:rsidP="00C07DA9">
      <w:pPr>
        <w:pStyle w:val="Prrafodelista"/>
        <w:spacing w:line="480" w:lineRule="auto"/>
        <w:ind w:left="1134" w:right="-518" w:firstLine="990"/>
        <w:jc w:val="both"/>
        <w:rPr>
          <w:rFonts w:ascii="Lato" w:hAnsi="Lato"/>
        </w:rPr>
      </w:pPr>
      <w:r w:rsidRPr="00DA59BC">
        <w:rPr>
          <w:rFonts w:ascii="Lato" w:hAnsi="Lato"/>
        </w:rPr>
        <w:t>Fuente de Financiamiento: Recursos Estatales</w:t>
      </w:r>
    </w:p>
    <w:p w14:paraId="69D7976B" w14:textId="77777777" w:rsidR="00B84FBA" w:rsidRDefault="00DA59BC" w:rsidP="00C07DA9">
      <w:pPr>
        <w:pStyle w:val="Prrafodelista"/>
        <w:spacing w:line="480" w:lineRule="auto"/>
        <w:ind w:left="1134" w:right="-518" w:firstLine="990"/>
        <w:jc w:val="both"/>
        <w:rPr>
          <w:rFonts w:ascii="Lato" w:hAnsi="Lato"/>
        </w:rPr>
      </w:pPr>
      <w:r w:rsidRPr="00DA59BC">
        <w:rPr>
          <w:rFonts w:ascii="Lato" w:hAnsi="Lato"/>
        </w:rPr>
        <w:t>Remanente del Ejercicio 2023.</w:t>
      </w:r>
    </w:p>
    <w:p w14:paraId="7F3EC025" w14:textId="0ED8D3E4" w:rsidR="00DA59BC" w:rsidRPr="00B84FBA" w:rsidRDefault="00DA59BC" w:rsidP="00B84FBA">
      <w:pPr>
        <w:pStyle w:val="Prrafodelista"/>
        <w:spacing w:line="480" w:lineRule="auto"/>
        <w:ind w:left="0" w:right="-518"/>
        <w:jc w:val="both"/>
        <w:rPr>
          <w:rFonts w:ascii="Lato" w:hAnsi="Lato"/>
        </w:rPr>
      </w:pPr>
      <w:r w:rsidRPr="00DA59BC">
        <w:rPr>
          <w:noProof/>
        </w:rPr>
        <w:drawing>
          <wp:anchor distT="0" distB="0" distL="114300" distR="114300" simplePos="0" relativeHeight="251661312" behindDoc="1" locked="0" layoutInCell="1" allowOverlap="1" wp14:anchorId="6471E9B0" wp14:editId="33396AC6">
            <wp:simplePos x="0" y="0"/>
            <wp:positionH relativeFrom="margin">
              <wp:posOffset>62865</wp:posOffset>
            </wp:positionH>
            <wp:positionV relativeFrom="paragraph">
              <wp:posOffset>1189355</wp:posOffset>
            </wp:positionV>
            <wp:extent cx="4772025" cy="2041525"/>
            <wp:effectExtent l="0" t="0" r="0" b="0"/>
            <wp:wrapTight wrapText="bothSides">
              <wp:wrapPolygon edited="0">
                <wp:start x="0" y="0"/>
                <wp:lineTo x="0" y="21365"/>
                <wp:lineTo x="21557" y="21365"/>
                <wp:lineTo x="21557" y="0"/>
                <wp:lineTo x="0" y="0"/>
              </wp:wrapPolygon>
            </wp:wrapTight>
            <wp:docPr id="1668779235" name="Imagen 1668779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204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4FBA">
        <w:rPr>
          <w:rFonts w:ascii="Lato" w:hAnsi="Lato"/>
        </w:rPr>
        <w:t>En seguimiento a la suficiencia presupuestal requerida para realizar el pago de las diferencias de retenciones de ISR 2019, se sugiere el siguiente traspaso presupuestal entre Capítulos y Partidas Presupuestales:</w:t>
      </w:r>
    </w:p>
    <w:p w14:paraId="047B8FA4" w14:textId="77777777" w:rsidR="00DA59BC" w:rsidRPr="00DA59BC" w:rsidRDefault="00DA59BC" w:rsidP="00DA59BC">
      <w:pPr>
        <w:pStyle w:val="Prrafodelista"/>
        <w:numPr>
          <w:ilvl w:val="0"/>
          <w:numId w:val="49"/>
        </w:numPr>
        <w:spacing w:after="0" w:line="480" w:lineRule="auto"/>
        <w:ind w:left="1418" w:right="-518"/>
        <w:jc w:val="both"/>
        <w:rPr>
          <w:rFonts w:ascii="Lato" w:hAnsi="Lato"/>
          <w:b/>
          <w:bCs/>
        </w:rPr>
      </w:pPr>
      <w:r w:rsidRPr="00DA59BC">
        <w:rPr>
          <w:rFonts w:ascii="Lato" w:hAnsi="Lato"/>
          <w:b/>
          <w:bCs/>
        </w:rPr>
        <w:t>Modificación al Presupuesto de Ingresos 2024</w:t>
      </w:r>
    </w:p>
    <w:p w14:paraId="13424273" w14:textId="77777777" w:rsidR="00DA59BC" w:rsidRPr="00DA59BC" w:rsidRDefault="00DA59BC" w:rsidP="00DA59BC">
      <w:pPr>
        <w:pStyle w:val="Prrafodelista"/>
        <w:spacing w:line="480" w:lineRule="auto"/>
        <w:ind w:left="1418" w:right="-518"/>
        <w:jc w:val="both"/>
        <w:rPr>
          <w:rFonts w:ascii="Lato" w:hAnsi="Lato"/>
          <w:b/>
          <w:bCs/>
        </w:rPr>
      </w:pPr>
      <w:r w:rsidRPr="00DA59BC">
        <w:rPr>
          <w:rFonts w:ascii="Lato" w:hAnsi="Lato"/>
          <w:b/>
          <w:bCs/>
        </w:rPr>
        <w:t>Ampliación Presupuestal</w:t>
      </w:r>
    </w:p>
    <w:p w14:paraId="6FFBEE45" w14:textId="77777777" w:rsidR="00DA59BC" w:rsidRPr="00DA59BC" w:rsidRDefault="00DA59BC" w:rsidP="00DA59BC">
      <w:pPr>
        <w:pStyle w:val="Prrafodelista"/>
        <w:spacing w:line="480" w:lineRule="auto"/>
        <w:ind w:left="1434" w:right="-518"/>
        <w:jc w:val="both"/>
        <w:rPr>
          <w:rFonts w:ascii="Lato" w:hAnsi="Lato"/>
        </w:rPr>
      </w:pPr>
      <w:r w:rsidRPr="00DA59BC">
        <w:rPr>
          <w:rFonts w:ascii="Lato" w:hAnsi="Lato"/>
        </w:rPr>
        <w:t>Fuente de Financiamiento: Recursos Estatales</w:t>
      </w:r>
    </w:p>
    <w:p w14:paraId="66C064A8" w14:textId="10E08C1D" w:rsidR="00DA59BC" w:rsidRPr="00DA59BC" w:rsidRDefault="00DA59BC" w:rsidP="00DA59BC">
      <w:pPr>
        <w:spacing w:line="480" w:lineRule="auto"/>
        <w:ind w:right="-518"/>
        <w:jc w:val="both"/>
        <w:rPr>
          <w:rFonts w:ascii="Lato" w:hAnsi="Lato"/>
        </w:rPr>
      </w:pPr>
      <w:r w:rsidRPr="00DA59BC">
        <w:rPr>
          <w:rFonts w:ascii="Lato" w:hAnsi="Lato"/>
        </w:rPr>
        <w:t>Ingresos extraordinarios no</w:t>
      </w:r>
      <w:r>
        <w:rPr>
          <w:rFonts w:ascii="Lato" w:hAnsi="Lato"/>
        </w:rPr>
        <w:t xml:space="preserve"> </w:t>
      </w:r>
      <w:r w:rsidRPr="00DA59BC">
        <w:rPr>
          <w:rFonts w:ascii="Lato" w:hAnsi="Lato"/>
        </w:rPr>
        <w:t>contemplados en el Presupuesto de Ingresos 2024.</w:t>
      </w:r>
    </w:p>
    <w:p w14:paraId="7DE26F52" w14:textId="77777777" w:rsidR="00DA59BC" w:rsidRPr="00DA59BC" w:rsidRDefault="00DA59BC" w:rsidP="00DA59BC">
      <w:pPr>
        <w:pStyle w:val="Prrafodelista"/>
        <w:spacing w:line="480" w:lineRule="auto"/>
        <w:ind w:left="1434" w:right="-518"/>
        <w:jc w:val="both"/>
        <w:rPr>
          <w:rFonts w:ascii="Lato" w:hAnsi="Lato"/>
        </w:rPr>
      </w:pPr>
      <w:r w:rsidRPr="00DA59BC">
        <w:rPr>
          <w:rFonts w:ascii="Lato" w:hAnsi="Lato"/>
          <w:noProof/>
        </w:rPr>
        <w:lastRenderedPageBreak/>
        <w:drawing>
          <wp:anchor distT="0" distB="0" distL="114300" distR="114300" simplePos="0" relativeHeight="251659264" behindDoc="1" locked="0" layoutInCell="1" allowOverlap="1" wp14:anchorId="1B7A25C2" wp14:editId="38073382">
            <wp:simplePos x="0" y="0"/>
            <wp:positionH relativeFrom="margin">
              <wp:align>center</wp:align>
            </wp:positionH>
            <wp:positionV relativeFrom="paragraph">
              <wp:posOffset>141937</wp:posOffset>
            </wp:positionV>
            <wp:extent cx="3752850" cy="343535"/>
            <wp:effectExtent l="0" t="0" r="0" b="0"/>
            <wp:wrapTight wrapText="bothSides">
              <wp:wrapPolygon edited="0">
                <wp:start x="0" y="0"/>
                <wp:lineTo x="0" y="20362"/>
                <wp:lineTo x="21490" y="20362"/>
                <wp:lineTo x="21490" y="0"/>
                <wp:lineTo x="0" y="0"/>
              </wp:wrapPolygon>
            </wp:wrapTight>
            <wp:docPr id="131351122" name="Imagen 13135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343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1C7531" w14:textId="77777777" w:rsidR="00DA59BC" w:rsidRDefault="00DA59BC" w:rsidP="00DA59BC">
      <w:pPr>
        <w:pStyle w:val="Prrafodelista"/>
        <w:spacing w:line="480" w:lineRule="auto"/>
        <w:ind w:left="1434" w:right="-518"/>
        <w:jc w:val="both"/>
        <w:rPr>
          <w:rFonts w:ascii="Lato" w:hAnsi="Lato"/>
          <w:b/>
          <w:bCs/>
        </w:rPr>
      </w:pPr>
    </w:p>
    <w:p w14:paraId="29B6226D" w14:textId="77777777" w:rsidR="00DA59BC" w:rsidRPr="00DA59BC" w:rsidRDefault="00DA59BC" w:rsidP="00DA59BC">
      <w:pPr>
        <w:pStyle w:val="Prrafodelista"/>
        <w:spacing w:line="480" w:lineRule="auto"/>
        <w:ind w:left="1434" w:right="-518"/>
        <w:jc w:val="both"/>
        <w:rPr>
          <w:rFonts w:ascii="Lato" w:hAnsi="Lato"/>
          <w:b/>
          <w:bCs/>
        </w:rPr>
      </w:pPr>
    </w:p>
    <w:p w14:paraId="00C8A143" w14:textId="77777777" w:rsidR="00DA59BC" w:rsidRPr="00DA59BC" w:rsidRDefault="00DA59BC" w:rsidP="00DA59BC">
      <w:pPr>
        <w:pStyle w:val="Prrafodelista"/>
        <w:numPr>
          <w:ilvl w:val="0"/>
          <w:numId w:val="49"/>
        </w:numPr>
        <w:spacing w:after="0" w:line="480" w:lineRule="auto"/>
        <w:ind w:left="1418" w:right="-518"/>
        <w:jc w:val="both"/>
        <w:rPr>
          <w:rFonts w:ascii="Lato" w:hAnsi="Lato"/>
          <w:b/>
          <w:bCs/>
        </w:rPr>
      </w:pPr>
      <w:r w:rsidRPr="00DA59BC">
        <w:rPr>
          <w:rFonts w:ascii="Lato" w:hAnsi="Lato"/>
          <w:b/>
          <w:bCs/>
        </w:rPr>
        <w:t>Modificación al Presupuesto de Egresos 2024</w:t>
      </w:r>
    </w:p>
    <w:p w14:paraId="2BDF2D41" w14:textId="77777777" w:rsidR="00DA59BC" w:rsidRPr="00DA59BC" w:rsidRDefault="00DA59BC" w:rsidP="00DA59BC">
      <w:pPr>
        <w:pStyle w:val="Prrafodelista"/>
        <w:spacing w:line="480" w:lineRule="auto"/>
        <w:ind w:left="1418" w:right="-518"/>
        <w:jc w:val="both"/>
        <w:rPr>
          <w:rFonts w:ascii="Lato" w:hAnsi="Lato"/>
          <w:b/>
          <w:bCs/>
        </w:rPr>
      </w:pPr>
      <w:r w:rsidRPr="00DA59BC">
        <w:rPr>
          <w:rFonts w:ascii="Lato" w:hAnsi="Lato"/>
          <w:b/>
          <w:bCs/>
        </w:rPr>
        <w:t>Ampliación Presupuestal</w:t>
      </w:r>
    </w:p>
    <w:p w14:paraId="2BD7ED02" w14:textId="77777777" w:rsidR="00DA59BC" w:rsidRPr="00DA59BC" w:rsidRDefault="00DA59BC" w:rsidP="00DA59BC">
      <w:pPr>
        <w:pStyle w:val="Prrafodelista"/>
        <w:spacing w:line="480" w:lineRule="auto"/>
        <w:ind w:left="1434" w:right="-518"/>
        <w:jc w:val="both"/>
        <w:rPr>
          <w:rFonts w:ascii="Lato" w:hAnsi="Lato"/>
        </w:rPr>
      </w:pPr>
      <w:r w:rsidRPr="00DA59BC">
        <w:rPr>
          <w:rFonts w:ascii="Lato" w:hAnsi="Lato"/>
        </w:rPr>
        <w:t>Fuente de Financiamiento: Recursos Estatales</w:t>
      </w:r>
    </w:p>
    <w:p w14:paraId="0A843122" w14:textId="77777777" w:rsidR="00DA59BC" w:rsidRPr="00DA59BC" w:rsidRDefault="00DA59BC" w:rsidP="00DA59BC">
      <w:pPr>
        <w:spacing w:line="480" w:lineRule="auto"/>
        <w:ind w:right="-518"/>
        <w:jc w:val="both"/>
        <w:rPr>
          <w:rFonts w:ascii="Lato" w:hAnsi="Lato"/>
        </w:rPr>
      </w:pPr>
      <w:r w:rsidRPr="00DA59BC">
        <w:rPr>
          <w:rFonts w:ascii="Lato" w:hAnsi="Lato"/>
        </w:rPr>
        <w:t xml:space="preserve">Por lo anterior, se sugiere se destinen los recursos recibidos al Capítulo 5000 Bienes Muebles, Inmuebles e Intangibles, en específico a la partida 5.1.5.1 Equipo de Cómputo y Tecnologías de la Información, para reponer la suficiencia presupuestal de la partida, por los recursos traspasados al Capítulo 3000: </w:t>
      </w:r>
    </w:p>
    <w:p w14:paraId="0C5DA2C2" w14:textId="77777777" w:rsidR="00DA59BC" w:rsidRPr="00DA59BC" w:rsidRDefault="00DA59BC" w:rsidP="00DA59BC">
      <w:pPr>
        <w:pStyle w:val="Prrafodelista"/>
        <w:spacing w:line="480" w:lineRule="auto"/>
        <w:ind w:left="1434" w:right="-518"/>
        <w:jc w:val="both"/>
        <w:rPr>
          <w:rFonts w:ascii="Lato" w:hAnsi="Lato"/>
        </w:rPr>
      </w:pPr>
      <w:r w:rsidRPr="00DA59BC">
        <w:rPr>
          <w:rFonts w:ascii="Lato" w:hAnsi="Lato"/>
          <w:noProof/>
        </w:rPr>
        <w:drawing>
          <wp:anchor distT="0" distB="0" distL="114300" distR="114300" simplePos="0" relativeHeight="251660288" behindDoc="1" locked="0" layoutInCell="1" allowOverlap="1" wp14:anchorId="074FD1C4" wp14:editId="1C2F0B98">
            <wp:simplePos x="0" y="0"/>
            <wp:positionH relativeFrom="column">
              <wp:posOffset>469265</wp:posOffset>
            </wp:positionH>
            <wp:positionV relativeFrom="paragraph">
              <wp:posOffset>126365</wp:posOffset>
            </wp:positionV>
            <wp:extent cx="4058920" cy="468630"/>
            <wp:effectExtent l="0" t="0" r="0" b="7620"/>
            <wp:wrapTight wrapText="bothSides">
              <wp:wrapPolygon edited="0">
                <wp:start x="0" y="0"/>
                <wp:lineTo x="0" y="21073"/>
                <wp:lineTo x="21492" y="21073"/>
                <wp:lineTo x="21492" y="0"/>
                <wp:lineTo x="0" y="0"/>
              </wp:wrapPolygon>
            </wp:wrapTight>
            <wp:docPr id="133774733" name="Imagen 133774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892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39AD8C" w14:textId="77777777" w:rsidR="00DA59BC" w:rsidRPr="00DA59BC" w:rsidRDefault="00DA59BC" w:rsidP="00DA59BC">
      <w:pPr>
        <w:tabs>
          <w:tab w:val="left" w:pos="5387"/>
        </w:tabs>
        <w:spacing w:after="0" w:line="480" w:lineRule="auto"/>
        <w:ind w:right="-518"/>
        <w:jc w:val="both"/>
        <w:rPr>
          <w:rFonts w:ascii="Lato" w:hAnsi="Lato"/>
        </w:rPr>
      </w:pPr>
    </w:p>
    <w:p w14:paraId="39EDAA59" w14:textId="77777777" w:rsidR="00C07DA9" w:rsidRDefault="00C07DA9" w:rsidP="00C07DA9">
      <w:pPr>
        <w:tabs>
          <w:tab w:val="left" w:pos="5387"/>
        </w:tabs>
        <w:spacing w:after="0" w:line="240" w:lineRule="auto"/>
        <w:ind w:right="-518"/>
        <w:jc w:val="both"/>
        <w:rPr>
          <w:rFonts w:ascii="Lato" w:hAnsi="Lato"/>
        </w:rPr>
      </w:pPr>
    </w:p>
    <w:p w14:paraId="7066F751" w14:textId="0A15E09A" w:rsidR="00DA59BC" w:rsidRPr="00DA59BC" w:rsidRDefault="00DA59BC" w:rsidP="00DA59BC">
      <w:pPr>
        <w:tabs>
          <w:tab w:val="left" w:pos="5387"/>
        </w:tabs>
        <w:spacing w:after="0" w:line="480" w:lineRule="auto"/>
        <w:ind w:right="-518"/>
        <w:jc w:val="both"/>
        <w:rPr>
          <w:rFonts w:ascii="Lato" w:hAnsi="Lato"/>
        </w:rPr>
      </w:pPr>
      <w:r w:rsidRPr="00DA59BC">
        <w:rPr>
          <w:rFonts w:ascii="Lato" w:hAnsi="Lato"/>
        </w:rPr>
        <w:t>Al respecto, tomando en consideración el informe del Tesorero del Poder Judicial del Estado del que se advierte que, las diferencias determinadas en materia  de impuesto sobre la renta por retenciones en salarios por el ejercicio fiscal 2019, han sido verificadas por el Servicio de Administración Tributaria, mismas que, de no corregirse a través de la carta invitación, se corre el riesgo de que la autoridad inicie sus facultades de comprobación fiscal, generando el incremento por la aplicación de sanciones administrativas y por ende se causaría</w:t>
      </w:r>
      <w:r w:rsidR="001C1AAC">
        <w:rPr>
          <w:rFonts w:ascii="Lato" w:hAnsi="Lato"/>
        </w:rPr>
        <w:t xml:space="preserve"> </w:t>
      </w:r>
      <w:r w:rsidRPr="00DA59BC">
        <w:rPr>
          <w:rFonts w:ascii="Lato" w:hAnsi="Lato"/>
        </w:rPr>
        <w:t>un daño mayor al patrimonio del Poder Judicial del Estado, por el pago de actualizaciones y demás multas por recargos, al ya determinado en la carta invitación; y para efecto de  realizar el pago requerido por la Autoridad Hacendaria, el Tesorero solicita se autorice la modificación al presupuesto de ingresos y egresos 2024,  en los términos propuestos en su oficio de cuenta.</w:t>
      </w:r>
    </w:p>
    <w:p w14:paraId="392AD184" w14:textId="77777777" w:rsidR="00DA59BC" w:rsidRPr="00DA59BC" w:rsidRDefault="00DA59BC" w:rsidP="00DA59BC">
      <w:pPr>
        <w:tabs>
          <w:tab w:val="left" w:pos="5387"/>
        </w:tabs>
        <w:spacing w:after="0" w:line="480" w:lineRule="auto"/>
        <w:ind w:right="-518"/>
        <w:jc w:val="both"/>
        <w:rPr>
          <w:rFonts w:ascii="Lato" w:hAnsi="Lato"/>
        </w:rPr>
      </w:pPr>
    </w:p>
    <w:p w14:paraId="3AB48ECB" w14:textId="378E1FC9" w:rsidR="00DA59BC" w:rsidRDefault="00DA59BC" w:rsidP="00DA59BC">
      <w:pPr>
        <w:tabs>
          <w:tab w:val="left" w:pos="5387"/>
        </w:tabs>
        <w:spacing w:after="0" w:line="480" w:lineRule="auto"/>
        <w:ind w:right="-518"/>
        <w:jc w:val="both"/>
        <w:rPr>
          <w:rFonts w:ascii="Lato" w:hAnsi="Lato" w:cs="Arial"/>
        </w:rPr>
      </w:pPr>
      <w:r w:rsidRPr="00DA59BC">
        <w:rPr>
          <w:rFonts w:ascii="Lato" w:hAnsi="Lato"/>
        </w:rPr>
        <w:t xml:space="preserve">Asimismo, se hace la precisión que, el incumplimiento de la obligación de pagar la retención de conformidad con el artículo 6 párrafo quinto del Código Fiscal de la Federación vigente, será en su caso, responsabilidad de los </w:t>
      </w:r>
      <w:r w:rsidRPr="00DA59BC">
        <w:rPr>
          <w:rFonts w:ascii="Lato" w:hAnsi="Lato" w:cs="Arial"/>
        </w:rPr>
        <w:t xml:space="preserve">servidores públicos de este </w:t>
      </w:r>
      <w:r w:rsidRPr="00DA59BC">
        <w:rPr>
          <w:rFonts w:ascii="Lato" w:hAnsi="Lato" w:cs="Arial"/>
        </w:rPr>
        <w:lastRenderedPageBreak/>
        <w:t xml:space="preserve">Poder Judicial, que durante el ejercicio fiscal 2019, omitieron retener y enterar oportunamente las obligaciones fiscales. </w:t>
      </w:r>
    </w:p>
    <w:p w14:paraId="62662348" w14:textId="77777777" w:rsidR="00C17595" w:rsidRPr="00DA59BC" w:rsidRDefault="00C17595" w:rsidP="00C17595">
      <w:pPr>
        <w:tabs>
          <w:tab w:val="left" w:pos="5387"/>
        </w:tabs>
        <w:spacing w:after="0" w:line="240" w:lineRule="auto"/>
        <w:ind w:right="-518"/>
        <w:jc w:val="both"/>
        <w:rPr>
          <w:rFonts w:ascii="Lato" w:hAnsi="Lato" w:cs="Arial"/>
        </w:rPr>
      </w:pPr>
    </w:p>
    <w:p w14:paraId="3B798943" w14:textId="77777777" w:rsidR="00DA59BC" w:rsidRPr="00DA59BC" w:rsidRDefault="00DA59BC" w:rsidP="00DA59BC">
      <w:pPr>
        <w:tabs>
          <w:tab w:val="left" w:pos="5387"/>
        </w:tabs>
        <w:spacing w:line="480" w:lineRule="auto"/>
        <w:ind w:right="-518"/>
        <w:jc w:val="both"/>
        <w:rPr>
          <w:rFonts w:ascii="Lato" w:hAnsi="Lato"/>
        </w:rPr>
      </w:pPr>
      <w:r w:rsidRPr="00DA59BC">
        <w:rPr>
          <w:rFonts w:ascii="Lato" w:hAnsi="Lato" w:cs="Arial"/>
        </w:rPr>
        <w:t xml:space="preserve">En ese sentido, considerando la opinión técnica emitida por el Tesorero del Poder Judicial del Estado y con fundamento en lo que establecen los artículos 85 de la Constitución Política del Estado Libre y Soberano de Tlaxcala; </w:t>
      </w:r>
      <w:r w:rsidRPr="00DA59BC">
        <w:rPr>
          <w:rFonts w:ascii="Lato" w:hAnsi="Lato"/>
          <w:color w:val="000000" w:themeColor="text1"/>
        </w:rPr>
        <w:t xml:space="preserve">3 fracción II, 90 y 91 de la Ley General de Responsabilidades Administrativas; 298 y 301 del Código Financiero para el Estado de Tlaxcala; </w:t>
      </w:r>
      <w:r w:rsidRPr="00DA59BC">
        <w:rPr>
          <w:rFonts w:ascii="Lato" w:hAnsi="Lato"/>
        </w:rPr>
        <w:t>61, 77 de la Ley Orgánica del Poder Judicial del Estado; y 9 fracción XVII, del Reglamento del Consejo de la Judicatura del Estado, se determina:</w:t>
      </w:r>
    </w:p>
    <w:p w14:paraId="7A108F6D" w14:textId="77777777" w:rsidR="00DA59BC" w:rsidRPr="00DA59BC" w:rsidRDefault="00DA59BC" w:rsidP="00DA59BC">
      <w:pPr>
        <w:pStyle w:val="Prrafodelista"/>
        <w:numPr>
          <w:ilvl w:val="5"/>
          <w:numId w:val="37"/>
        </w:numPr>
        <w:tabs>
          <w:tab w:val="clear" w:pos="4320"/>
        </w:tabs>
        <w:spacing w:after="0" w:line="480" w:lineRule="auto"/>
        <w:ind w:left="851" w:right="-518"/>
        <w:jc w:val="both"/>
        <w:rPr>
          <w:rFonts w:ascii="Lato" w:hAnsi="Lato"/>
        </w:rPr>
      </w:pPr>
      <w:r w:rsidRPr="00DA59BC">
        <w:rPr>
          <w:rFonts w:ascii="Lato" w:hAnsi="Lato"/>
        </w:rPr>
        <w:t>Tomar conocimiento del contenido íntegro del oficio de cuenta.</w:t>
      </w:r>
    </w:p>
    <w:p w14:paraId="0EF0EA39" w14:textId="76DB9A59" w:rsidR="00DA59BC" w:rsidRPr="00DA59BC" w:rsidRDefault="00DA59BC" w:rsidP="00DA59BC">
      <w:pPr>
        <w:pStyle w:val="Prrafodelista"/>
        <w:numPr>
          <w:ilvl w:val="5"/>
          <w:numId w:val="37"/>
        </w:numPr>
        <w:tabs>
          <w:tab w:val="clear" w:pos="4320"/>
        </w:tabs>
        <w:spacing w:after="0" w:line="480" w:lineRule="auto"/>
        <w:ind w:left="851" w:right="-518"/>
        <w:jc w:val="both"/>
        <w:rPr>
          <w:rFonts w:ascii="Lato" w:eastAsia="Times New Roman" w:hAnsi="Lato"/>
        </w:rPr>
      </w:pPr>
      <w:r w:rsidRPr="00DA59BC">
        <w:rPr>
          <w:rFonts w:ascii="Lato" w:hAnsi="Lato"/>
        </w:rPr>
        <w:t xml:space="preserve">Con la finalidad de evitar un daño al patrimonio del Poder Judicial del Estado, por la aplicación de recargos, multas y demás sanciones administrativas, aún mayores a las ya determinadas en la carta invitación </w:t>
      </w:r>
      <w:r w:rsidRPr="00DA59BC">
        <w:rPr>
          <w:rFonts w:ascii="Lato" w:hAnsi="Lato" w:cstheme="minorHAnsi"/>
        </w:rPr>
        <w:t>del Servicio de Administración Tributaria</w:t>
      </w:r>
      <w:r w:rsidRPr="00DA59BC">
        <w:rPr>
          <w:rFonts w:ascii="Lato" w:hAnsi="Lato"/>
        </w:rPr>
        <w:t xml:space="preserve"> y a e</w:t>
      </w:r>
      <w:r w:rsidRPr="00DA59BC">
        <w:rPr>
          <w:rFonts w:ascii="Lato" w:hAnsi="Lato" w:cstheme="minorHAnsi"/>
        </w:rPr>
        <w:t>fecto de estar en posibilidad de atenderla, se autoriza la modificación al presupuesto de ingresos y egresos del Poder Judicial del Estado, para el ejercicio fiscal 2024, en los términos presentados por el Tesorero del Poder Judicial del Estado y con la documentación de cuenta, remítase al Pleno del Tribunal Superior de Justicia del Estado de Tlaxcala, para efectos de su análisis y aprobación</w:t>
      </w:r>
      <w:r w:rsidRPr="00DA59BC">
        <w:rPr>
          <w:rFonts w:ascii="Lato" w:eastAsia="Batang" w:hAnsi="Lato" w:cstheme="minorHAnsi"/>
        </w:rPr>
        <w:t>.</w:t>
      </w:r>
    </w:p>
    <w:p w14:paraId="4833ADE0" w14:textId="77777777" w:rsidR="00DA59BC" w:rsidRPr="00DA59BC" w:rsidRDefault="00DA59BC" w:rsidP="00DA59BC">
      <w:pPr>
        <w:pStyle w:val="Prrafodelista"/>
        <w:numPr>
          <w:ilvl w:val="5"/>
          <w:numId w:val="37"/>
        </w:numPr>
        <w:tabs>
          <w:tab w:val="clear" w:pos="4320"/>
        </w:tabs>
        <w:spacing w:after="0" w:line="480" w:lineRule="auto"/>
        <w:ind w:left="851" w:right="-518"/>
        <w:jc w:val="both"/>
        <w:rPr>
          <w:rFonts w:ascii="Lato" w:hAnsi="Lato"/>
        </w:rPr>
      </w:pPr>
      <w:r w:rsidRPr="00DA59BC">
        <w:rPr>
          <w:rFonts w:ascii="Lato" w:eastAsia="Batang" w:hAnsi="Lato" w:cstheme="minorHAnsi"/>
        </w:rPr>
        <w:t>Una vez aprobada la modificación presupuestal por el Pleno del Tribunal Superior de Justicia, se autoriza y se instruye al Tesorero realizar el pago d</w:t>
      </w:r>
      <w:r w:rsidRPr="00DA59BC">
        <w:rPr>
          <w:rFonts w:ascii="Lato" w:hAnsi="Lato"/>
        </w:rPr>
        <w:t>e la cantidad de $15,771,026.00 (Quince millones setecientos setenta y un mil veintiséis pesos 00/100 M.N.), como resultado de las diferencias de ISR retenido a salarios y accesorios correspondiente al ejercicio fiscal 2019.</w:t>
      </w:r>
    </w:p>
    <w:p w14:paraId="47063BD6" w14:textId="77777777" w:rsidR="00DA59BC" w:rsidRPr="00DA59BC" w:rsidRDefault="00DA59BC" w:rsidP="00DA59BC">
      <w:pPr>
        <w:pStyle w:val="Prrafodelista"/>
        <w:numPr>
          <w:ilvl w:val="5"/>
          <w:numId w:val="37"/>
        </w:numPr>
        <w:tabs>
          <w:tab w:val="clear" w:pos="4320"/>
        </w:tabs>
        <w:spacing w:after="0" w:line="480" w:lineRule="auto"/>
        <w:ind w:left="851" w:right="-518"/>
        <w:jc w:val="both"/>
        <w:rPr>
          <w:rFonts w:ascii="Lato" w:hAnsi="Lato"/>
        </w:rPr>
      </w:pPr>
      <w:r w:rsidRPr="00DA59BC">
        <w:rPr>
          <w:rFonts w:ascii="Lato" w:hAnsi="Lato"/>
        </w:rPr>
        <w:t xml:space="preserve">Instruir al Contralor del Poder Judicial del Estado, para que, en el ámbito de su competencia, inicie con los procedimientos administrativos que correspondan, en contra de los servidores públicos que estuvieron en el ejercicio fiscal 2019, y que omitieron </w:t>
      </w:r>
      <w:r w:rsidRPr="00DA59BC">
        <w:rPr>
          <w:rFonts w:ascii="Lato" w:hAnsi="Lato" w:cs="Arial"/>
        </w:rPr>
        <w:t>retener y enterar oportunamente las obligaciones correspondientes a dicho ejercicio fiscal y con ello generaron una afectación patrimonial a este Ente Público.</w:t>
      </w:r>
    </w:p>
    <w:p w14:paraId="4B76651A" w14:textId="2E2CE6E0" w:rsidR="006D76CC" w:rsidRPr="00925686" w:rsidRDefault="00DA59BC" w:rsidP="00DA59BC">
      <w:pPr>
        <w:pStyle w:val="Sinespaciado"/>
        <w:spacing w:line="480" w:lineRule="auto"/>
        <w:ind w:right="-518"/>
        <w:jc w:val="both"/>
        <w:rPr>
          <w:rFonts w:ascii="Lato" w:hAnsi="Lato"/>
          <w:b/>
          <w:bCs/>
          <w:u w:val="single"/>
        </w:rPr>
      </w:pPr>
      <w:r w:rsidRPr="00DA59BC">
        <w:rPr>
          <w:rFonts w:ascii="Lato" w:hAnsi="Lato"/>
        </w:rPr>
        <w:lastRenderedPageBreak/>
        <w:t>Comuníquese esta determinación al Tesorero y Contralor del Poder Judicial del Estado, para su conocimiento y efectos legales correspondientes, así como al Pleno del Tribunal Superior de Justicia, para su superior conocimiento y aprobación.</w:t>
      </w:r>
      <w:r>
        <w:rPr>
          <w:rFonts w:ascii="Lato" w:hAnsi="Lato"/>
        </w:rPr>
        <w:t xml:space="preserve"> </w:t>
      </w:r>
      <w:r w:rsidR="00925686" w:rsidRPr="00925686">
        <w:rPr>
          <w:rFonts w:ascii="Lato" w:hAnsi="Lato"/>
          <w:b/>
          <w:bCs/>
          <w:u w:val="single"/>
        </w:rPr>
        <w:t xml:space="preserve">APROBADO POR UNANIMIDAD DE VOTOS. </w:t>
      </w:r>
    </w:p>
    <w:bookmarkEnd w:id="5"/>
    <w:p w14:paraId="0D45A1D7" w14:textId="77777777" w:rsidR="00FF33FD" w:rsidRPr="00925686" w:rsidRDefault="00FF33FD" w:rsidP="00E03740">
      <w:pPr>
        <w:spacing w:after="0" w:line="240" w:lineRule="auto"/>
        <w:jc w:val="both"/>
        <w:rPr>
          <w:rFonts w:ascii="Lato" w:hAnsi="Lato"/>
          <w:b/>
          <w:bCs/>
          <w:u w:val="single"/>
        </w:rPr>
      </w:pPr>
    </w:p>
    <w:bookmarkEnd w:id="6"/>
    <w:p w14:paraId="67A72577" w14:textId="470CABB3" w:rsidR="004A33DA" w:rsidRPr="006372D9" w:rsidRDefault="006E4A27" w:rsidP="00E03740">
      <w:pPr>
        <w:spacing w:after="0" w:line="480" w:lineRule="auto"/>
        <w:ind w:firstLine="708"/>
        <w:jc w:val="both"/>
        <w:rPr>
          <w:rFonts w:ascii="Lato" w:hAnsi="Lato" w:cstheme="minorHAnsi"/>
          <w:b/>
          <w:bCs/>
          <w:color w:val="000000" w:themeColor="text1"/>
          <w:bdr w:val="none" w:sz="0" w:space="0" w:color="auto" w:frame="1"/>
        </w:rPr>
      </w:pPr>
      <w:r w:rsidRPr="006372D9">
        <w:rPr>
          <w:rFonts w:ascii="Lato" w:hAnsi="Lato"/>
          <w:b/>
          <w:bCs/>
        </w:rPr>
        <w:t>ACUERDO I</w:t>
      </w:r>
      <w:r w:rsidR="006372D9">
        <w:rPr>
          <w:rFonts w:ascii="Lato" w:hAnsi="Lato"/>
          <w:b/>
          <w:bCs/>
        </w:rPr>
        <w:t>II</w:t>
      </w:r>
      <w:r w:rsidRPr="006372D9">
        <w:rPr>
          <w:rFonts w:ascii="Lato" w:hAnsi="Lato"/>
          <w:b/>
          <w:bCs/>
        </w:rPr>
        <w:t>/28/2024</w:t>
      </w:r>
      <w:r w:rsidR="003E6260" w:rsidRPr="006372D9">
        <w:rPr>
          <w:rFonts w:ascii="Lato" w:hAnsi="Lato"/>
          <w:b/>
          <w:bCs/>
        </w:rPr>
        <w:t xml:space="preserve">. </w:t>
      </w:r>
      <w:r w:rsidR="004A33DA" w:rsidRPr="006372D9">
        <w:rPr>
          <w:rFonts w:ascii="Lato" w:hAnsi="Lato"/>
          <w:b/>
          <w:bCs/>
        </w:rPr>
        <w:t>O</w:t>
      </w:r>
      <w:r w:rsidR="004A33DA" w:rsidRPr="006372D9">
        <w:rPr>
          <w:rFonts w:ascii="Lato" w:hAnsi="Lato" w:cstheme="minorHAnsi"/>
          <w:b/>
          <w:bCs/>
          <w:color w:val="000000" w:themeColor="text1"/>
          <w:bdr w:val="none" w:sz="0" w:space="0" w:color="auto" w:frame="1"/>
        </w:rPr>
        <w:t>ficio número IEJ/31</w:t>
      </w:r>
      <w:r w:rsidR="00F63909" w:rsidRPr="006372D9">
        <w:rPr>
          <w:rFonts w:ascii="Lato" w:hAnsi="Lato" w:cstheme="minorHAnsi"/>
          <w:b/>
          <w:bCs/>
          <w:color w:val="000000" w:themeColor="text1"/>
          <w:bdr w:val="none" w:sz="0" w:space="0" w:color="auto" w:frame="1"/>
        </w:rPr>
        <w:t>4</w:t>
      </w:r>
      <w:r w:rsidR="004A33DA" w:rsidRPr="006372D9">
        <w:rPr>
          <w:rFonts w:ascii="Lato" w:hAnsi="Lato" w:cstheme="minorHAnsi"/>
          <w:b/>
          <w:bCs/>
          <w:color w:val="000000" w:themeColor="text1"/>
          <w:bdr w:val="none" w:sz="0" w:space="0" w:color="auto" w:frame="1"/>
        </w:rPr>
        <w:t xml:space="preserve">/2024, recibido el </w:t>
      </w:r>
      <w:r w:rsidR="003A0322">
        <w:rPr>
          <w:rFonts w:ascii="Lato" w:hAnsi="Lato" w:cstheme="minorHAnsi"/>
          <w:b/>
          <w:bCs/>
          <w:color w:val="000000" w:themeColor="text1"/>
          <w:bdr w:val="none" w:sz="0" w:space="0" w:color="auto" w:frame="1"/>
        </w:rPr>
        <w:t xml:space="preserve">veinte </w:t>
      </w:r>
      <w:r w:rsidR="003A0322" w:rsidRPr="006372D9">
        <w:rPr>
          <w:rFonts w:ascii="Lato" w:hAnsi="Lato" w:cstheme="minorHAnsi"/>
          <w:b/>
          <w:bCs/>
          <w:color w:val="000000" w:themeColor="text1"/>
          <w:bdr w:val="none" w:sz="0" w:space="0" w:color="auto" w:frame="1"/>
        </w:rPr>
        <w:t>de</w:t>
      </w:r>
      <w:r w:rsidR="004A33DA" w:rsidRPr="006372D9">
        <w:rPr>
          <w:rFonts w:ascii="Lato" w:hAnsi="Lato" w:cstheme="minorHAnsi"/>
          <w:b/>
          <w:bCs/>
          <w:color w:val="000000" w:themeColor="text1"/>
          <w:bdr w:val="none" w:sz="0" w:space="0" w:color="auto" w:frame="1"/>
        </w:rPr>
        <w:t xml:space="preserve"> marzo de dos mil veinticuatro, signado por el </w:t>
      </w:r>
      <w:proofErr w:type="gramStart"/>
      <w:r w:rsidR="004A33DA" w:rsidRPr="006372D9">
        <w:rPr>
          <w:rFonts w:ascii="Lato" w:hAnsi="Lato" w:cstheme="minorHAnsi"/>
          <w:b/>
          <w:bCs/>
          <w:color w:val="000000" w:themeColor="text1"/>
          <w:bdr w:val="none" w:sz="0" w:space="0" w:color="auto" w:frame="1"/>
        </w:rPr>
        <w:t>Director</w:t>
      </w:r>
      <w:proofErr w:type="gramEnd"/>
      <w:r w:rsidR="004A33DA" w:rsidRPr="006372D9">
        <w:rPr>
          <w:rFonts w:ascii="Lato" w:hAnsi="Lato" w:cstheme="minorHAnsi"/>
          <w:b/>
          <w:bCs/>
          <w:color w:val="000000" w:themeColor="text1"/>
          <w:bdr w:val="none" w:sz="0" w:space="0" w:color="auto" w:frame="1"/>
        </w:rPr>
        <w:t xml:space="preserve"> del Instituto de Especialización Judicial del Poder Judicial del Estado.  - - - -  - - - </w:t>
      </w:r>
      <w:r w:rsidR="006372D9">
        <w:rPr>
          <w:rFonts w:ascii="Lato" w:hAnsi="Lato" w:cstheme="minorHAnsi"/>
          <w:b/>
          <w:bCs/>
          <w:color w:val="000000" w:themeColor="text1"/>
          <w:bdr w:val="none" w:sz="0" w:space="0" w:color="auto" w:frame="1"/>
        </w:rPr>
        <w:t xml:space="preserve"> - - - - - - - - - -</w:t>
      </w:r>
    </w:p>
    <w:p w14:paraId="07DF2813" w14:textId="1C2951C8" w:rsidR="004A33DA" w:rsidRDefault="004A33DA" w:rsidP="00E03740">
      <w:pPr>
        <w:spacing w:after="0" w:line="480" w:lineRule="auto"/>
        <w:jc w:val="both"/>
        <w:rPr>
          <w:rFonts w:ascii="Lato" w:hAnsi="Lato" w:cstheme="minorHAnsi"/>
          <w:color w:val="000000" w:themeColor="text1"/>
          <w:bdr w:val="none" w:sz="0" w:space="0" w:color="auto" w:frame="1"/>
        </w:rPr>
      </w:pPr>
      <w:r w:rsidRPr="006372D9">
        <w:rPr>
          <w:rFonts w:ascii="Lato" w:hAnsi="Lato"/>
        </w:rPr>
        <w:t>Dada cuenta con el oficio de referencia,</w:t>
      </w:r>
      <w:r w:rsidR="000529D5" w:rsidRPr="006372D9">
        <w:rPr>
          <w:rFonts w:ascii="Lato" w:hAnsi="Lato"/>
        </w:rPr>
        <w:t xml:space="preserve"> mediante el cual,  </w:t>
      </w:r>
      <w:r w:rsidR="000529D5" w:rsidRPr="006372D9">
        <w:rPr>
          <w:rFonts w:ascii="Lato" w:hAnsi="Lato" w:cstheme="minorHAnsi"/>
          <w:color w:val="000000" w:themeColor="text1"/>
          <w:bdr w:val="none" w:sz="0" w:space="0" w:color="auto" w:frame="1"/>
        </w:rPr>
        <w:t xml:space="preserve">el Director del Instituto de Especialización Judicial del Poder Judicial del Estado, en seguimiento al </w:t>
      </w:r>
      <w:r w:rsidR="000529D5" w:rsidRPr="006372D9">
        <w:rPr>
          <w:rFonts w:ascii="Lato" w:hAnsi="Lato"/>
        </w:rPr>
        <w:t>acuerdo XIV/19/2024.1,  de este Cuerpo Colegiado,</w:t>
      </w:r>
      <w:r w:rsidRPr="006372D9">
        <w:rPr>
          <w:rFonts w:ascii="Lato" w:hAnsi="Lato"/>
        </w:rPr>
        <w:t xml:space="preserve"> </w:t>
      </w:r>
      <w:r w:rsidR="000529D5" w:rsidRPr="006372D9">
        <w:rPr>
          <w:rFonts w:ascii="Lato" w:hAnsi="Lato"/>
        </w:rPr>
        <w:t>relativo a</w:t>
      </w:r>
      <w:r w:rsidR="00EF2A84" w:rsidRPr="006372D9">
        <w:rPr>
          <w:rFonts w:ascii="Lato" w:hAnsi="Lato"/>
        </w:rPr>
        <w:t xml:space="preserve"> </w:t>
      </w:r>
      <w:r w:rsidR="000529D5" w:rsidRPr="006372D9">
        <w:rPr>
          <w:rFonts w:ascii="Lato" w:hAnsi="Lato"/>
        </w:rPr>
        <w:t>l</w:t>
      </w:r>
      <w:r w:rsidR="00EF2A84" w:rsidRPr="006372D9">
        <w:rPr>
          <w:rFonts w:ascii="Lato" w:hAnsi="Lato"/>
        </w:rPr>
        <w:t xml:space="preserve">a autorización del </w:t>
      </w:r>
      <w:r w:rsidR="000529D5" w:rsidRPr="006372D9">
        <w:rPr>
          <w:rFonts w:ascii="Lato" w:hAnsi="Lato"/>
        </w:rPr>
        <w:t xml:space="preserve">  Diplomado Código  Nacional de Procedimientos Civiles y Familiares</w:t>
      </w:r>
      <w:r w:rsidR="00183A08" w:rsidRPr="006372D9">
        <w:rPr>
          <w:rFonts w:ascii="Lato" w:hAnsi="Lato"/>
        </w:rPr>
        <w:t xml:space="preserve">, </w:t>
      </w:r>
      <w:r w:rsidR="00EF2A84" w:rsidRPr="006372D9">
        <w:rPr>
          <w:rFonts w:ascii="Lato" w:hAnsi="Lato"/>
        </w:rPr>
        <w:t>el cual sería sin costo para el Poder Judicial</w:t>
      </w:r>
      <w:r w:rsidR="00B1382C" w:rsidRPr="006372D9">
        <w:rPr>
          <w:rFonts w:ascii="Lato" w:hAnsi="Lato"/>
        </w:rPr>
        <w:t xml:space="preserve">, informa que </w:t>
      </w:r>
      <w:r w:rsidR="00EF2A84" w:rsidRPr="006372D9">
        <w:rPr>
          <w:rFonts w:ascii="Lato" w:hAnsi="Lato"/>
        </w:rPr>
        <w:t xml:space="preserve">mediante oficio CONATRIB/156/2024, se comunicó  la determinación del Pleno del Consejo de la Judicatura de la Ciudad de México, en relación con la participación únicamente del Magistrado </w:t>
      </w:r>
      <w:proofErr w:type="spellStart"/>
      <w:r w:rsidR="00EF2A84" w:rsidRPr="006372D9">
        <w:rPr>
          <w:rFonts w:ascii="Lato" w:hAnsi="Lato"/>
        </w:rPr>
        <w:t>Yaopol</w:t>
      </w:r>
      <w:proofErr w:type="spellEnd"/>
      <w:r w:rsidR="00EF2A84" w:rsidRPr="006372D9">
        <w:rPr>
          <w:rFonts w:ascii="Lato" w:hAnsi="Lato"/>
        </w:rPr>
        <w:t xml:space="preserve"> Pérez Amaya Jiménez  y los Jueces Francisco Nery Rosales y </w:t>
      </w:r>
      <w:proofErr w:type="spellStart"/>
      <w:r w:rsidR="00EF2A84" w:rsidRPr="006372D9">
        <w:rPr>
          <w:rFonts w:ascii="Lato" w:hAnsi="Lato"/>
        </w:rPr>
        <w:t>Téofilo</w:t>
      </w:r>
      <w:proofErr w:type="spellEnd"/>
      <w:r w:rsidR="00EF2A84" w:rsidRPr="006372D9">
        <w:rPr>
          <w:rFonts w:ascii="Lato" w:hAnsi="Lato"/>
        </w:rPr>
        <w:t xml:space="preserve"> </w:t>
      </w:r>
      <w:proofErr w:type="spellStart"/>
      <w:r w:rsidR="00EF2A84" w:rsidRPr="006372D9">
        <w:rPr>
          <w:rFonts w:ascii="Lato" w:hAnsi="Lato"/>
        </w:rPr>
        <w:t>Abdo</w:t>
      </w:r>
      <w:proofErr w:type="spellEnd"/>
      <w:r w:rsidR="00EF2A84" w:rsidRPr="006372D9">
        <w:rPr>
          <w:rFonts w:ascii="Lato" w:hAnsi="Lato"/>
        </w:rPr>
        <w:t xml:space="preserve"> </w:t>
      </w:r>
      <w:proofErr w:type="spellStart"/>
      <w:r w:rsidR="00EF2A84" w:rsidRPr="006372D9">
        <w:rPr>
          <w:rFonts w:ascii="Lato" w:hAnsi="Lato"/>
        </w:rPr>
        <w:t>Kury</w:t>
      </w:r>
      <w:proofErr w:type="spellEnd"/>
      <w:r w:rsidR="00EF2A84" w:rsidRPr="006372D9">
        <w:rPr>
          <w:rFonts w:ascii="Lato" w:hAnsi="Lato"/>
        </w:rPr>
        <w:t xml:space="preserve"> para la impartición de un tema , de ahí que se precisó acudir a escuelas de estudios superiores </w:t>
      </w:r>
      <w:r w:rsidR="004448CF" w:rsidRPr="006372D9">
        <w:rPr>
          <w:rFonts w:ascii="Lato" w:hAnsi="Lato"/>
        </w:rPr>
        <w:t>o</w:t>
      </w:r>
      <w:r w:rsidR="00EF2A84" w:rsidRPr="006372D9">
        <w:rPr>
          <w:rFonts w:ascii="Lato" w:hAnsi="Lato"/>
        </w:rPr>
        <w:t xml:space="preserve"> centros de investigación para la contratación de ponentes, ya que la mayoría de los Poderes Judiciales de la República Mexicana se  encuentran transitando por procesos similares de capacitación; en ese sentido, </w:t>
      </w:r>
      <w:r w:rsidR="000529D5" w:rsidRPr="006372D9">
        <w:rPr>
          <w:rFonts w:ascii="Lato" w:hAnsi="Lato"/>
        </w:rPr>
        <w:t xml:space="preserve"> </w:t>
      </w:r>
      <w:r w:rsidR="000529D5" w:rsidRPr="006372D9">
        <w:rPr>
          <w:rFonts w:ascii="Lato" w:hAnsi="Lato" w:cstheme="minorHAnsi"/>
          <w:color w:val="000000" w:themeColor="text1"/>
          <w:bdr w:val="none" w:sz="0" w:space="0" w:color="auto" w:frame="1"/>
        </w:rPr>
        <w:t>solicita a este Cuerpo Colegiado autorice el pago de honorarios para el Doctor  Erick Mena Moreno, ponente que el próximo veintiséis de marzo del año en curso, impartirá, vía plataforma digital, el tema 1. Teoría General de los Sistemas de Impartición de Justicia, correspondiente al Módulo I Sistema Oral de Impartición de Justicia, por la cantidad de $3,480.00 (Tres mil cuatrocientos ochenta pesos 00/100 M.N.) IVA incluido</w:t>
      </w:r>
      <w:r w:rsidR="004448CF" w:rsidRPr="006372D9">
        <w:rPr>
          <w:rFonts w:ascii="Lato" w:hAnsi="Lato" w:cstheme="minorHAnsi"/>
          <w:color w:val="000000" w:themeColor="text1"/>
          <w:bdr w:val="none" w:sz="0" w:space="0" w:color="auto" w:frame="1"/>
        </w:rPr>
        <w:t>.</w:t>
      </w:r>
    </w:p>
    <w:p w14:paraId="78332F88" w14:textId="77777777" w:rsidR="00986890" w:rsidRPr="006372D9" w:rsidRDefault="00986890" w:rsidP="00986890">
      <w:pPr>
        <w:spacing w:after="0" w:line="240" w:lineRule="auto"/>
        <w:jc w:val="both"/>
        <w:rPr>
          <w:rFonts w:ascii="Lato" w:hAnsi="Lato" w:cstheme="minorHAnsi"/>
          <w:color w:val="000000" w:themeColor="text1"/>
          <w:bdr w:val="none" w:sz="0" w:space="0" w:color="auto" w:frame="1"/>
        </w:rPr>
      </w:pPr>
    </w:p>
    <w:p w14:paraId="17B3E5C5" w14:textId="0C65F2BC" w:rsidR="00B6359B" w:rsidRDefault="000B76B3" w:rsidP="00E03740">
      <w:pPr>
        <w:spacing w:after="0" w:line="480" w:lineRule="auto"/>
        <w:jc w:val="both"/>
        <w:rPr>
          <w:rFonts w:ascii="Lato" w:hAnsi="Lato"/>
        </w:rPr>
      </w:pPr>
      <w:r w:rsidRPr="006372D9">
        <w:rPr>
          <w:rFonts w:ascii="Lato" w:hAnsi="Lato" w:cstheme="minorHAnsi"/>
          <w:color w:val="000000" w:themeColor="text1"/>
          <w:bdr w:val="none" w:sz="0" w:space="0" w:color="auto" w:frame="1"/>
        </w:rPr>
        <w:t xml:space="preserve">Al respecto, tomando en consideración lo expuesto por el Director del Instituto de Especialización Judicial del Estado, con relación al comunicado realizado mediante oficio </w:t>
      </w:r>
      <w:r w:rsidRPr="006372D9">
        <w:rPr>
          <w:rFonts w:ascii="Lato" w:hAnsi="Lato"/>
        </w:rPr>
        <w:t xml:space="preserve">CONATRIB/156/2024, del que se desprende que, </w:t>
      </w:r>
      <w:r w:rsidR="00B1382C" w:rsidRPr="006372D9">
        <w:rPr>
          <w:rFonts w:ascii="Lato" w:hAnsi="Lato"/>
        </w:rPr>
        <w:t xml:space="preserve">requiere la </w:t>
      </w:r>
      <w:r w:rsidR="00B1382C" w:rsidRPr="006372D9">
        <w:rPr>
          <w:rFonts w:ascii="Lato" w:hAnsi="Lato"/>
        </w:rPr>
        <w:lastRenderedPageBreak/>
        <w:t>autorización para el pago de honorarios del ponente que participar</w:t>
      </w:r>
      <w:r w:rsidR="00076777">
        <w:rPr>
          <w:rFonts w:ascii="Lato" w:hAnsi="Lato"/>
        </w:rPr>
        <w:t>á vía plataforma digital,</w:t>
      </w:r>
      <w:r w:rsidR="00B1382C" w:rsidRPr="006372D9">
        <w:rPr>
          <w:rFonts w:ascii="Lato" w:hAnsi="Lato"/>
        </w:rPr>
        <w:t xml:space="preserve"> con el tema </w:t>
      </w:r>
      <w:r w:rsidR="00F36032" w:rsidRPr="006372D9">
        <w:rPr>
          <w:rFonts w:ascii="Lato" w:hAnsi="Lato"/>
        </w:rPr>
        <w:t>1</w:t>
      </w:r>
      <w:r w:rsidR="00076777">
        <w:rPr>
          <w:rFonts w:ascii="Lato" w:hAnsi="Lato"/>
        </w:rPr>
        <w:t>, correspondiente al Modulo I</w:t>
      </w:r>
      <w:r w:rsidR="00F36032" w:rsidRPr="006372D9">
        <w:rPr>
          <w:rFonts w:ascii="Lato" w:hAnsi="Lato"/>
        </w:rPr>
        <w:t xml:space="preserve"> </w:t>
      </w:r>
      <w:r w:rsidR="00B1382C" w:rsidRPr="006372D9">
        <w:rPr>
          <w:rFonts w:ascii="Lato" w:hAnsi="Lato"/>
        </w:rPr>
        <w:t>del Diplomado</w:t>
      </w:r>
      <w:r w:rsidR="00F36032" w:rsidRPr="006372D9">
        <w:rPr>
          <w:rFonts w:ascii="Lato" w:hAnsi="Lato"/>
        </w:rPr>
        <w:t xml:space="preserve"> antes referido</w:t>
      </w:r>
      <w:r w:rsidR="00B1382C" w:rsidRPr="006372D9">
        <w:rPr>
          <w:rFonts w:ascii="Lato" w:hAnsi="Lato"/>
        </w:rPr>
        <w:t xml:space="preserve">, el día veintiséis de marzo del año en curso, </w:t>
      </w:r>
      <w:r w:rsidR="00B6359B" w:rsidRPr="006372D9">
        <w:rPr>
          <w:rFonts w:ascii="Lato" w:hAnsi="Lato"/>
        </w:rPr>
        <w:t>con fundamento en lo que establecen los artículos 61, 77 de la Ley Orgánica del Poder Judicial del Estado;</w:t>
      </w:r>
      <w:r w:rsidR="00F36032" w:rsidRPr="006372D9">
        <w:rPr>
          <w:rFonts w:ascii="Lato" w:hAnsi="Lato"/>
        </w:rPr>
        <w:t xml:space="preserve"> y</w:t>
      </w:r>
      <w:r w:rsidR="00B6359B" w:rsidRPr="006372D9">
        <w:rPr>
          <w:rFonts w:ascii="Lato" w:hAnsi="Lato"/>
        </w:rPr>
        <w:t xml:space="preserve"> 9 fracción XVII, del Reglamento del Con</w:t>
      </w:r>
      <w:r w:rsidR="001C1AAC">
        <w:rPr>
          <w:rFonts w:ascii="Lato" w:hAnsi="Lato"/>
        </w:rPr>
        <w:t>s</w:t>
      </w:r>
      <w:r w:rsidR="00B6359B" w:rsidRPr="006372D9">
        <w:rPr>
          <w:rFonts w:ascii="Lato" w:hAnsi="Lato"/>
        </w:rPr>
        <w:t xml:space="preserve">ejo </w:t>
      </w:r>
      <w:r w:rsidR="00EA4606">
        <w:rPr>
          <w:rFonts w:ascii="Lato" w:hAnsi="Lato"/>
        </w:rPr>
        <w:t>d</w:t>
      </w:r>
      <w:r w:rsidR="00B6359B" w:rsidRPr="006372D9">
        <w:rPr>
          <w:rFonts w:ascii="Lato" w:hAnsi="Lato"/>
        </w:rPr>
        <w:t>e la Judicatura del Estado, se determina:</w:t>
      </w:r>
    </w:p>
    <w:p w14:paraId="26E35BEA" w14:textId="251FB359" w:rsidR="00986890" w:rsidRDefault="00986890" w:rsidP="00986890">
      <w:pPr>
        <w:pStyle w:val="Prrafodelista"/>
        <w:spacing w:after="0" w:line="480" w:lineRule="auto"/>
        <w:ind w:left="644"/>
        <w:jc w:val="both"/>
        <w:rPr>
          <w:rFonts w:ascii="Lato" w:hAnsi="Lato"/>
        </w:rPr>
      </w:pPr>
      <w:r>
        <w:rPr>
          <w:rFonts w:ascii="Lato" w:hAnsi="Lato"/>
        </w:rPr>
        <w:t xml:space="preserve">1. </w:t>
      </w:r>
      <w:r w:rsidR="00B6359B" w:rsidRPr="00986890">
        <w:rPr>
          <w:rFonts w:ascii="Lato" w:hAnsi="Lato"/>
        </w:rPr>
        <w:t>Tomar conocimiento del oficio y anexo de cuenta.</w:t>
      </w:r>
    </w:p>
    <w:p w14:paraId="3F5790A2" w14:textId="3070B731" w:rsidR="004448CF" w:rsidRDefault="00986890" w:rsidP="00986890">
      <w:pPr>
        <w:pStyle w:val="Prrafodelista"/>
        <w:spacing w:after="0" w:line="480" w:lineRule="auto"/>
        <w:ind w:left="644"/>
        <w:jc w:val="both"/>
        <w:rPr>
          <w:rFonts w:ascii="Lato" w:hAnsi="Lato" w:cstheme="minorHAnsi"/>
          <w:color w:val="000000" w:themeColor="text1"/>
          <w:bdr w:val="none" w:sz="0" w:space="0" w:color="auto" w:frame="1"/>
        </w:rPr>
      </w:pPr>
      <w:r>
        <w:rPr>
          <w:rFonts w:ascii="Lato" w:hAnsi="Lato"/>
        </w:rPr>
        <w:t xml:space="preserve">2. </w:t>
      </w:r>
      <w:r w:rsidR="00B6359B" w:rsidRPr="00986890">
        <w:rPr>
          <w:rFonts w:ascii="Lato" w:hAnsi="Lato"/>
        </w:rPr>
        <w:t xml:space="preserve">Autorizar el pago de la </w:t>
      </w:r>
      <w:r w:rsidR="00B1382C" w:rsidRPr="00986890">
        <w:rPr>
          <w:rFonts w:ascii="Lato" w:hAnsi="Lato"/>
        </w:rPr>
        <w:t>c</w:t>
      </w:r>
      <w:r w:rsidR="00B6359B" w:rsidRPr="00986890">
        <w:rPr>
          <w:rFonts w:ascii="Lato" w:hAnsi="Lato"/>
        </w:rPr>
        <w:t xml:space="preserve">antidad de $ 3,480.00 (Tres mil cuatrocientos ochenta pesos 00/100 M. N.) IVA incluido, por concepto </w:t>
      </w:r>
      <w:r w:rsidR="00B6359B" w:rsidRPr="00986890">
        <w:rPr>
          <w:rFonts w:ascii="Lato" w:hAnsi="Lato" w:cstheme="minorHAnsi"/>
          <w:color w:val="000000" w:themeColor="text1"/>
          <w:bdr w:val="none" w:sz="0" w:space="0" w:color="auto" w:frame="1"/>
        </w:rPr>
        <w:t>de honorarios para el Doctor Erick Mena Moreno, Ponente, que el próximo veintiséis de marzo del año en curso, impartirá, vía plataforma digital, el tema 1 Teoría General de los Sistemas de Impartición de Justicia, correspondiente al Módulo I Sistema Oral de Impartición de Justicia.</w:t>
      </w:r>
    </w:p>
    <w:p w14:paraId="4CAF50A9" w14:textId="36DC8769" w:rsidR="00B6359B" w:rsidRPr="00986890" w:rsidRDefault="00986890" w:rsidP="00986890">
      <w:pPr>
        <w:pStyle w:val="Prrafodelista"/>
        <w:spacing w:after="0" w:line="480" w:lineRule="auto"/>
        <w:ind w:left="644"/>
        <w:jc w:val="both"/>
        <w:rPr>
          <w:rFonts w:ascii="Lato" w:hAnsi="Lato"/>
        </w:rPr>
      </w:pPr>
      <w:r>
        <w:rPr>
          <w:rFonts w:ascii="Lato" w:hAnsi="Lato" w:cstheme="minorHAnsi"/>
          <w:color w:val="000000" w:themeColor="text1"/>
          <w:bdr w:val="none" w:sz="0" w:space="0" w:color="auto" w:frame="1"/>
        </w:rPr>
        <w:t xml:space="preserve">3.  </w:t>
      </w:r>
      <w:r w:rsidR="00B6359B" w:rsidRPr="00986890">
        <w:rPr>
          <w:rFonts w:ascii="Lato" w:hAnsi="Lato" w:cstheme="minorHAnsi"/>
        </w:rPr>
        <w:t>Instruir al Tesorero del Poder Judicial del Estado, prever lo necesario con relación al pago autorizado</w:t>
      </w:r>
      <w:r w:rsidR="00EE1404" w:rsidRPr="00986890">
        <w:rPr>
          <w:rFonts w:ascii="Lato" w:hAnsi="Lato" w:cstheme="minorHAnsi"/>
        </w:rPr>
        <w:t xml:space="preserve"> al ponente en mención</w:t>
      </w:r>
      <w:r w:rsidR="00E85A85" w:rsidRPr="00986890">
        <w:rPr>
          <w:rFonts w:ascii="Lato" w:hAnsi="Lato" w:cstheme="minorHAnsi"/>
        </w:rPr>
        <w:t>.</w:t>
      </w:r>
    </w:p>
    <w:p w14:paraId="0D5F0A66" w14:textId="34F59D5F" w:rsidR="00F43169" w:rsidRPr="00176817" w:rsidRDefault="00B6359B" w:rsidP="00176817">
      <w:pPr>
        <w:pStyle w:val="xmsonormal"/>
        <w:shd w:val="clear" w:color="auto" w:fill="FFFFFF"/>
        <w:spacing w:before="0" w:beforeAutospacing="0" w:after="0" w:afterAutospacing="0" w:line="480" w:lineRule="auto"/>
        <w:jc w:val="both"/>
        <w:rPr>
          <w:rFonts w:ascii="Lato" w:hAnsi="Lato" w:cstheme="minorHAnsi"/>
          <w:b/>
          <w:bCs/>
          <w:sz w:val="22"/>
          <w:szCs w:val="22"/>
          <w:u w:val="single"/>
        </w:rPr>
      </w:pPr>
      <w:r w:rsidRPr="006372D9">
        <w:rPr>
          <w:rFonts w:ascii="Lato" w:hAnsi="Lato" w:cstheme="minorHAnsi"/>
          <w:sz w:val="22"/>
          <w:szCs w:val="22"/>
        </w:rPr>
        <w:t xml:space="preserve">Comuníquese esta determinación al </w:t>
      </w:r>
      <w:proofErr w:type="gramStart"/>
      <w:r w:rsidRPr="006372D9">
        <w:rPr>
          <w:rFonts w:ascii="Lato" w:hAnsi="Lato" w:cstheme="minorHAnsi"/>
          <w:sz w:val="22"/>
          <w:szCs w:val="22"/>
        </w:rPr>
        <w:t>Director</w:t>
      </w:r>
      <w:proofErr w:type="gramEnd"/>
      <w:r w:rsidRPr="006372D9">
        <w:rPr>
          <w:rFonts w:ascii="Lato" w:hAnsi="Lato" w:cstheme="minorHAnsi"/>
          <w:sz w:val="22"/>
          <w:szCs w:val="22"/>
        </w:rPr>
        <w:t xml:space="preserve"> del Instituto de Especialización Judicial y Tesorero del Poder Judicial del Estado, para su conocimiento y efectos legales a que haya lugar</w:t>
      </w:r>
      <w:r w:rsidR="001706A1" w:rsidRPr="006372D9">
        <w:rPr>
          <w:rFonts w:ascii="Lato" w:hAnsi="Lato" w:cstheme="minorHAnsi"/>
          <w:sz w:val="22"/>
          <w:szCs w:val="22"/>
        </w:rPr>
        <w:t>.</w:t>
      </w:r>
      <w:r w:rsidR="00176817">
        <w:rPr>
          <w:rFonts w:ascii="Lato" w:hAnsi="Lato" w:cstheme="minorHAnsi"/>
          <w:sz w:val="22"/>
          <w:szCs w:val="22"/>
        </w:rPr>
        <w:t xml:space="preserve"> </w:t>
      </w:r>
      <w:r w:rsidR="00176817" w:rsidRPr="00176817">
        <w:rPr>
          <w:rFonts w:ascii="Lato" w:hAnsi="Lato" w:cstheme="minorHAnsi"/>
          <w:b/>
          <w:bCs/>
          <w:sz w:val="22"/>
          <w:szCs w:val="22"/>
          <w:u w:val="single"/>
        </w:rPr>
        <w:t>APROBADO POR UNANIMIDAD DE VOTOS.</w:t>
      </w:r>
    </w:p>
    <w:p w14:paraId="21696741" w14:textId="7A69C1A1" w:rsidR="00E03740" w:rsidRPr="00E03740" w:rsidRDefault="00E03740" w:rsidP="00E03740">
      <w:pPr>
        <w:spacing w:before="100" w:beforeAutospacing="1" w:after="100" w:afterAutospacing="1" w:line="480" w:lineRule="auto"/>
        <w:ind w:firstLine="708"/>
        <w:jc w:val="both"/>
        <w:rPr>
          <w:rFonts w:ascii="Lato" w:hAnsi="Lato" w:cstheme="minorHAnsi"/>
          <w:bdr w:val="none" w:sz="0" w:space="0" w:color="auto" w:frame="1"/>
        </w:rPr>
      </w:pPr>
      <w:r w:rsidRPr="00E03740">
        <w:rPr>
          <w:rFonts w:ascii="Lato" w:hAnsi="Lato"/>
          <w:b/>
          <w:bCs/>
        </w:rPr>
        <w:t xml:space="preserve">ACUERDO IV/28/2024. PROPUESTA DE LA MAGISTRADA PRESIDENTA DEL TRIBUNAL SUPERIOR DE JUSTICIA Y DEL CONSEJO DE LA JUDICATURA DEL ESTADO, PARA LA ENTREGA DE RECONOCIMIENTO A SERVIDOR PÚBLICO POR AÑOS DE SERVICIO. - - - - - - - - - - - - - - - - - - - - - - - - - </w:t>
      </w:r>
      <w:r w:rsidRPr="00E03740">
        <w:rPr>
          <w:rFonts w:ascii="Lato" w:hAnsi="Lato"/>
        </w:rPr>
        <w:t>Dada la propuesta de la Magistrada Presidenta del Tribunal Superior de Justicia y del Consejo de la Judicatura del Estado,  a través de la cual  solicita se autorice la entrega de un reconocimiento, al Licenciado Bonifacio Sánchez Aguilar, Secretario de Acuerdos, por los años de servicio en el Poder Judicial; al respecto, y a fin de reconocer el desarrollo de la función judicial a dicho servidor público por treinta y un años, once meses  laborados en esta Institución</w:t>
      </w:r>
      <w:r w:rsidR="00D86FD8">
        <w:rPr>
          <w:rFonts w:ascii="Lato" w:hAnsi="Lato"/>
        </w:rPr>
        <w:t xml:space="preserve">, </w:t>
      </w:r>
      <w:r w:rsidRPr="00E03740">
        <w:rPr>
          <w:rFonts w:ascii="Lato" w:hAnsi="Lato"/>
        </w:rPr>
        <w:t xml:space="preserve">con fundamento en lo que establecen los artículos </w:t>
      </w:r>
      <w:r w:rsidRPr="00E03740">
        <w:rPr>
          <w:rFonts w:ascii="Lato" w:hAnsi="Lato" w:cstheme="minorHAnsi"/>
          <w:bdr w:val="none" w:sz="0" w:space="0" w:color="auto" w:frame="1"/>
        </w:rPr>
        <w:t>85 de la Constitución Política del Estado Libre y Soberano de Tlaxcala;  y 61 de la Ley Orgánica del Poder Judicial del Estado, se determina:</w:t>
      </w:r>
    </w:p>
    <w:p w14:paraId="63AAF902" w14:textId="77777777" w:rsidR="00E03740" w:rsidRPr="00E03740" w:rsidRDefault="00E03740" w:rsidP="00E03740">
      <w:pPr>
        <w:pStyle w:val="NormalWeb"/>
        <w:spacing w:line="480" w:lineRule="auto"/>
        <w:ind w:left="720"/>
        <w:jc w:val="both"/>
        <w:rPr>
          <w:rFonts w:ascii="Lato" w:hAnsi="Lato"/>
          <w:sz w:val="22"/>
          <w:szCs w:val="22"/>
        </w:rPr>
      </w:pPr>
      <w:r w:rsidRPr="00E03740">
        <w:rPr>
          <w:rFonts w:ascii="Lato" w:hAnsi="Lato"/>
          <w:sz w:val="22"/>
          <w:szCs w:val="22"/>
        </w:rPr>
        <w:lastRenderedPageBreak/>
        <w:t xml:space="preserve">Autorizar la entrega de un reconocimiento al Licenciado Bonifacio Sánchez Aguilar, dada su trayectoria laboral durante treinta y un años once meses de servicio en el Poder Judicial del Estado, lo cual deberá realizarse en sesión del Pleno del Tribunal Superior de Justicia, con la asistencia de las y los </w:t>
      </w:r>
      <w:proofErr w:type="gramStart"/>
      <w:r w:rsidRPr="00E03740">
        <w:rPr>
          <w:rFonts w:ascii="Lato" w:hAnsi="Lato"/>
          <w:sz w:val="22"/>
          <w:szCs w:val="22"/>
        </w:rPr>
        <w:t>Consejeros</w:t>
      </w:r>
      <w:proofErr w:type="gramEnd"/>
      <w:r w:rsidRPr="00E03740">
        <w:rPr>
          <w:rFonts w:ascii="Lato" w:hAnsi="Lato"/>
          <w:sz w:val="22"/>
          <w:szCs w:val="22"/>
        </w:rPr>
        <w:t xml:space="preserve"> de la Judicatura del Estado.</w:t>
      </w:r>
    </w:p>
    <w:p w14:paraId="78863347" w14:textId="14F81A86" w:rsidR="00396380" w:rsidRDefault="00E03740" w:rsidP="00E03740">
      <w:pPr>
        <w:spacing w:before="100" w:beforeAutospacing="1" w:after="100" w:afterAutospacing="1" w:line="480" w:lineRule="auto"/>
        <w:jc w:val="both"/>
        <w:rPr>
          <w:rFonts w:ascii="Lato" w:hAnsi="Lato"/>
          <w:b/>
          <w:bCs/>
          <w:u w:val="single"/>
        </w:rPr>
      </w:pPr>
      <w:r w:rsidRPr="00E03740">
        <w:rPr>
          <w:rFonts w:ascii="Lato" w:hAnsi="Lato"/>
        </w:rPr>
        <w:t xml:space="preserve">Comuníquese esta determinación al Pleno del Tribunal Superior de Justicia del Estado, para su superior conocimiento y efectos a que haya lugar, en vía de reiteración a la Magistrada </w:t>
      </w:r>
      <w:proofErr w:type="gramStart"/>
      <w:r w:rsidRPr="00E03740">
        <w:rPr>
          <w:rFonts w:ascii="Lato" w:hAnsi="Lato"/>
        </w:rPr>
        <w:t>Presidenta</w:t>
      </w:r>
      <w:proofErr w:type="gramEnd"/>
      <w:r w:rsidRPr="00E03740">
        <w:rPr>
          <w:rFonts w:ascii="Lato" w:hAnsi="Lato"/>
        </w:rPr>
        <w:t xml:space="preserve"> del Tribunal Superior de Justicia del </w:t>
      </w:r>
      <w:r w:rsidR="00D86FD8" w:rsidRPr="00E03740">
        <w:rPr>
          <w:rFonts w:ascii="Lato" w:hAnsi="Lato"/>
        </w:rPr>
        <w:t>Estado</w:t>
      </w:r>
      <w:r w:rsidR="00D86FD8">
        <w:rPr>
          <w:rFonts w:ascii="Lato" w:hAnsi="Lato"/>
        </w:rPr>
        <w:t xml:space="preserve">. </w:t>
      </w:r>
      <w:r w:rsidR="00D86FD8" w:rsidRPr="00D86FD8">
        <w:rPr>
          <w:rFonts w:ascii="Lato" w:hAnsi="Lato"/>
          <w:b/>
          <w:bCs/>
          <w:u w:val="single"/>
        </w:rPr>
        <w:t>APROBADO</w:t>
      </w:r>
      <w:r w:rsidR="00552E94" w:rsidRPr="00552E94">
        <w:rPr>
          <w:rFonts w:ascii="Lato" w:hAnsi="Lato"/>
          <w:b/>
          <w:bCs/>
          <w:u w:val="single"/>
        </w:rPr>
        <w:t xml:space="preserve"> POR UNANIMIDAD DE VOTOS. </w:t>
      </w:r>
    </w:p>
    <w:p w14:paraId="388FD87C" w14:textId="525E4B81" w:rsidR="00396380" w:rsidRPr="00664505" w:rsidRDefault="0067055C" w:rsidP="006C60DF">
      <w:pPr>
        <w:spacing w:before="100" w:beforeAutospacing="1" w:after="100" w:afterAutospacing="1" w:line="480" w:lineRule="auto"/>
        <w:jc w:val="both"/>
        <w:rPr>
          <w:rFonts w:ascii="Lato" w:hAnsi="Lato"/>
          <w:b/>
          <w:bCs/>
          <w:color w:val="FF0000"/>
        </w:rPr>
      </w:pPr>
      <w:r w:rsidRPr="00B10654">
        <w:rPr>
          <w:rFonts w:ascii="Lato" w:eastAsia="Times New Roman" w:hAnsi="Lato" w:cs="Calibri"/>
          <w:bCs/>
          <w:color w:val="000000" w:themeColor="text1"/>
          <w:lang w:eastAsia="es-MX"/>
        </w:rPr>
        <w:t>Al no haber otro asunto</w:t>
      </w:r>
      <w:r w:rsidRPr="00B10654">
        <w:rPr>
          <w:rFonts w:ascii="Lato" w:eastAsia="Times New Roman" w:hAnsi="Lato" w:cs="Calibri"/>
          <w:color w:val="000000" w:themeColor="text1"/>
          <w:lang w:eastAsia="es-MX"/>
        </w:rPr>
        <w:t xml:space="preserve"> que tratar y siendo</w:t>
      </w:r>
      <w:r>
        <w:rPr>
          <w:rFonts w:ascii="Lato" w:eastAsia="Times New Roman" w:hAnsi="Lato" w:cs="Calibri"/>
          <w:color w:val="000000" w:themeColor="text1"/>
          <w:lang w:eastAsia="es-MX"/>
        </w:rPr>
        <w:t xml:space="preserve"> las </w:t>
      </w:r>
      <w:r w:rsidR="00327375">
        <w:rPr>
          <w:rFonts w:ascii="Lato" w:eastAsia="Times New Roman" w:hAnsi="Lato" w:cs="Calibri"/>
          <w:color w:val="000000" w:themeColor="text1"/>
          <w:lang w:eastAsia="es-MX"/>
        </w:rPr>
        <w:t xml:space="preserve">quince horas con siete minutos de este </w:t>
      </w:r>
      <w:r w:rsidRPr="00B10654">
        <w:rPr>
          <w:rFonts w:ascii="Lato" w:eastAsia="Times New Roman" w:hAnsi="Lato" w:cs="Calibri"/>
          <w:color w:val="000000" w:themeColor="text1"/>
          <w:lang w:eastAsia="es-MX"/>
        </w:rPr>
        <w:t>día</w:t>
      </w:r>
      <w:r w:rsidR="00327375">
        <w:rPr>
          <w:rFonts w:ascii="Lato" w:eastAsia="Times New Roman" w:hAnsi="Lato" w:cs="Calibri"/>
          <w:color w:val="000000" w:themeColor="text1"/>
          <w:lang w:eastAsia="es-MX"/>
        </w:rPr>
        <w:t>,</w:t>
      </w:r>
      <w:r w:rsidRPr="00B10654">
        <w:rPr>
          <w:rFonts w:ascii="Lato" w:eastAsia="Times New Roman" w:hAnsi="Lato" w:cs="Calibri"/>
          <w:color w:val="000000" w:themeColor="text1"/>
          <w:lang w:eastAsia="es-MX"/>
        </w:rPr>
        <w:t xml:space="preserve"> se declara concluida esta sesión extraordinaria privada del Consejo de la Judicatura del Estado de Tlaxcala, levantándose la presente acta, que firman para constancia los que en ella intervinieron, así como la Licenciada </w:t>
      </w:r>
      <w:proofErr w:type="spellStart"/>
      <w:r w:rsidRPr="00B10654">
        <w:rPr>
          <w:rFonts w:ascii="Lato" w:eastAsia="Times New Roman" w:hAnsi="Lato" w:cs="Calibri"/>
          <w:color w:val="000000" w:themeColor="text1"/>
          <w:lang w:eastAsia="es-MX"/>
        </w:rPr>
        <w:t>Midory</w:t>
      </w:r>
      <w:proofErr w:type="spellEnd"/>
      <w:r w:rsidRPr="00B10654">
        <w:rPr>
          <w:rFonts w:ascii="Lato" w:eastAsia="Times New Roman" w:hAnsi="Lato" w:cs="Calibri"/>
          <w:color w:val="000000" w:themeColor="text1"/>
          <w:lang w:eastAsia="es-MX"/>
        </w:rPr>
        <w:t xml:space="preserve"> Castro Bañuelos, </w:t>
      </w:r>
      <w:proofErr w:type="gramStart"/>
      <w:r w:rsidRPr="00B10654">
        <w:rPr>
          <w:rFonts w:ascii="Lato" w:eastAsia="Times New Roman" w:hAnsi="Lato" w:cs="Calibri"/>
          <w:color w:val="000000" w:themeColor="text1"/>
          <w:lang w:eastAsia="es-MX"/>
        </w:rPr>
        <w:t>Secretaria Ejecutiva</w:t>
      </w:r>
      <w:proofErr w:type="gramEnd"/>
      <w:r w:rsidRPr="00B10654">
        <w:rPr>
          <w:rFonts w:ascii="Lato" w:eastAsia="Times New Roman" w:hAnsi="Lato" w:cs="Calibri"/>
          <w:color w:val="000000" w:themeColor="text1"/>
          <w:lang w:eastAsia="es-MX"/>
        </w:rPr>
        <w:t xml:space="preserve"> del Consejo de la Judicatura, quien da fe. </w:t>
      </w:r>
    </w:p>
    <w:p w14:paraId="230D65FF" w14:textId="7CD258B5" w:rsidR="00A04251" w:rsidRDefault="005E53EF" w:rsidP="00E03740">
      <w:pPr>
        <w:spacing w:before="100" w:beforeAutospacing="1" w:after="100" w:afterAutospacing="1" w:line="480" w:lineRule="auto"/>
        <w:jc w:val="both"/>
        <w:rPr>
          <w:rFonts w:ascii="Lato" w:eastAsia="Times New Roman" w:hAnsi="Lato" w:cs="Calibri"/>
          <w:color w:val="000000" w:themeColor="text1"/>
          <w:lang w:eastAsia="es-MX"/>
        </w:rPr>
      </w:pPr>
      <w:r w:rsidRPr="006372D9">
        <w:rPr>
          <w:rFonts w:ascii="Lato" w:eastAsia="Times New Roman" w:hAnsi="Lato" w:cs="Calibri"/>
          <w:color w:val="000000" w:themeColor="text1"/>
          <w:lang w:eastAsia="es-MX"/>
        </w:rPr>
        <w:t xml:space="preserve"> </w:t>
      </w:r>
    </w:p>
    <w:p w14:paraId="540EB09E" w14:textId="77777777" w:rsidR="00A04251" w:rsidRPr="006372D9" w:rsidRDefault="00A04251" w:rsidP="00E03740">
      <w:pPr>
        <w:spacing w:before="100" w:beforeAutospacing="1" w:after="100" w:afterAutospacing="1" w:line="480" w:lineRule="auto"/>
        <w:jc w:val="both"/>
        <w:rPr>
          <w:rFonts w:ascii="Lato" w:eastAsia="Times New Roman" w:hAnsi="Lato" w:cs="Calibri"/>
          <w:color w:val="000000" w:themeColor="text1"/>
          <w:lang w:eastAsia="es-MX"/>
        </w:rPr>
      </w:pPr>
    </w:p>
    <w:p w14:paraId="529A7417" w14:textId="77777777" w:rsidR="00A04251" w:rsidRPr="006372D9" w:rsidRDefault="00A04251" w:rsidP="00E03740">
      <w:pPr>
        <w:framePr w:hSpace="141" w:wrap="around" w:vAnchor="text" w:hAnchor="margin" w:y="130"/>
        <w:tabs>
          <w:tab w:val="left" w:pos="5954"/>
        </w:tabs>
        <w:spacing w:after="0" w:line="240" w:lineRule="auto"/>
        <w:jc w:val="center"/>
        <w:rPr>
          <w:rFonts w:ascii="Lato" w:eastAsia="Times New Roman" w:hAnsi="Lato" w:cs="Calibri"/>
          <w:color w:val="000000" w:themeColor="text1"/>
        </w:rPr>
      </w:pPr>
      <w:r w:rsidRPr="006372D9">
        <w:rPr>
          <w:rFonts w:ascii="Lato" w:eastAsia="Times New Roman" w:hAnsi="Lato" w:cs="Calibri"/>
          <w:color w:val="000000" w:themeColor="text1"/>
        </w:rPr>
        <w:t>Magistrada Anel Bañuelos Meneses</w:t>
      </w:r>
    </w:p>
    <w:p w14:paraId="0A647644" w14:textId="77777777" w:rsidR="00A04251" w:rsidRPr="006372D9" w:rsidRDefault="00A04251" w:rsidP="00E03740">
      <w:pPr>
        <w:framePr w:hSpace="141" w:wrap="around" w:vAnchor="text" w:hAnchor="margin" w:y="130"/>
        <w:tabs>
          <w:tab w:val="left" w:pos="5954"/>
        </w:tabs>
        <w:spacing w:after="0" w:line="240" w:lineRule="auto"/>
        <w:jc w:val="center"/>
        <w:rPr>
          <w:rFonts w:ascii="Lato" w:eastAsia="Times New Roman" w:hAnsi="Lato" w:cs="Calibri"/>
          <w:color w:val="000000" w:themeColor="text1"/>
        </w:rPr>
      </w:pPr>
      <w:r w:rsidRPr="006372D9">
        <w:rPr>
          <w:rFonts w:ascii="Lato" w:eastAsia="Times New Roman" w:hAnsi="Lato" w:cs="Calibri"/>
          <w:color w:val="000000" w:themeColor="text1"/>
        </w:rPr>
        <w:t>Presidenta del Tribunal Superior de Justicia</w:t>
      </w:r>
    </w:p>
    <w:p w14:paraId="4B19D55C" w14:textId="77777777" w:rsidR="00A04251" w:rsidRDefault="00A04251" w:rsidP="00E03740">
      <w:pPr>
        <w:spacing w:before="100" w:beforeAutospacing="1" w:after="100" w:afterAutospacing="1" w:line="480" w:lineRule="auto"/>
        <w:jc w:val="center"/>
        <w:rPr>
          <w:rFonts w:ascii="Lato" w:eastAsia="Times New Roman" w:hAnsi="Lato" w:cs="Calibri"/>
          <w:color w:val="000000" w:themeColor="text1"/>
          <w:lang w:eastAsia="es-MX"/>
        </w:rPr>
      </w:pPr>
      <w:r w:rsidRPr="006372D9">
        <w:rPr>
          <w:rFonts w:ascii="Lato" w:eastAsia="Times New Roman" w:hAnsi="Lato" w:cs="Calibri"/>
          <w:color w:val="000000" w:themeColor="text1"/>
          <w:lang w:eastAsia="es-MX"/>
        </w:rPr>
        <w:t>y del Consejo de la Judicatura del Estado de Tlaxcala</w:t>
      </w:r>
    </w:p>
    <w:p w14:paraId="64CC46BC" w14:textId="77777777" w:rsidR="006C60DF" w:rsidRDefault="006C60DF" w:rsidP="00E03740">
      <w:pPr>
        <w:spacing w:before="100" w:beforeAutospacing="1" w:after="100" w:afterAutospacing="1" w:line="480" w:lineRule="auto"/>
        <w:jc w:val="center"/>
        <w:rPr>
          <w:rFonts w:ascii="Lato" w:eastAsia="Times New Roman" w:hAnsi="Lato" w:cs="Calibri"/>
          <w:color w:val="000000" w:themeColor="text1"/>
          <w:lang w:eastAsia="es-MX"/>
        </w:rPr>
      </w:pPr>
    </w:p>
    <w:p w14:paraId="64F3A886" w14:textId="77777777" w:rsidR="006C60DF" w:rsidRDefault="006C60DF" w:rsidP="00E03740">
      <w:pPr>
        <w:spacing w:before="100" w:beforeAutospacing="1" w:after="100" w:afterAutospacing="1" w:line="480" w:lineRule="auto"/>
        <w:jc w:val="center"/>
        <w:rPr>
          <w:rFonts w:ascii="Lato" w:eastAsia="Times New Roman" w:hAnsi="Lato" w:cs="Calibri"/>
          <w:color w:val="000000" w:themeColor="text1"/>
          <w:lang w:eastAsia="es-MX"/>
        </w:rPr>
      </w:pPr>
    </w:p>
    <w:p w14:paraId="3FB73FD3" w14:textId="77777777" w:rsidR="006C60DF" w:rsidRPr="006372D9" w:rsidRDefault="006C60DF" w:rsidP="00E03740">
      <w:pPr>
        <w:spacing w:before="100" w:beforeAutospacing="1" w:after="100" w:afterAutospacing="1" w:line="480" w:lineRule="auto"/>
        <w:jc w:val="center"/>
        <w:rPr>
          <w:rFonts w:ascii="Lato" w:eastAsia="Times New Roman" w:hAnsi="Lato" w:cs="Calibri"/>
          <w:color w:val="000000" w:themeColor="text1"/>
          <w:lang w:eastAsia="es-MX"/>
        </w:rPr>
      </w:pPr>
    </w:p>
    <w:tbl>
      <w:tblPr>
        <w:tblpPr w:leftFromText="141" w:rightFromText="141" w:vertAnchor="text" w:horzAnchor="margin" w:tblpY="130"/>
        <w:tblW w:w="8075" w:type="dxa"/>
        <w:tblLook w:val="04A0" w:firstRow="1" w:lastRow="0" w:firstColumn="1" w:lastColumn="0" w:noHBand="0" w:noVBand="1"/>
      </w:tblPr>
      <w:tblGrid>
        <w:gridCol w:w="3823"/>
        <w:gridCol w:w="283"/>
        <w:gridCol w:w="3969"/>
      </w:tblGrid>
      <w:tr w:rsidR="00A04251" w:rsidRPr="006372D9" w14:paraId="51044F10" w14:textId="77777777" w:rsidTr="006C60DF">
        <w:trPr>
          <w:trHeight w:val="317"/>
        </w:trPr>
        <w:tc>
          <w:tcPr>
            <w:tcW w:w="3823" w:type="dxa"/>
          </w:tcPr>
          <w:p w14:paraId="3FE4C636" w14:textId="4F60D113" w:rsidR="00A04251" w:rsidRPr="006372D9" w:rsidRDefault="00DD7190" w:rsidP="00E03740">
            <w:pPr>
              <w:tabs>
                <w:tab w:val="left" w:pos="5954"/>
              </w:tabs>
              <w:spacing w:after="0" w:line="240" w:lineRule="auto"/>
              <w:jc w:val="center"/>
              <w:rPr>
                <w:rFonts w:ascii="Lato" w:eastAsia="Times New Roman" w:hAnsi="Lato" w:cs="Calibri"/>
                <w:color w:val="000000" w:themeColor="text1"/>
              </w:rPr>
            </w:pPr>
            <w:r>
              <w:rPr>
                <w:rFonts w:ascii="Lato" w:eastAsia="Times New Roman" w:hAnsi="Lato" w:cs="Calibri"/>
                <w:color w:val="000000" w:themeColor="text1"/>
              </w:rPr>
              <w:t>Mtro</w:t>
            </w:r>
            <w:r w:rsidR="00A04251" w:rsidRPr="006372D9">
              <w:rPr>
                <w:rFonts w:ascii="Lato" w:eastAsia="Times New Roman" w:hAnsi="Lato" w:cs="Calibri"/>
                <w:color w:val="000000" w:themeColor="text1"/>
              </w:rPr>
              <w:t xml:space="preserve">. Germán Mendoza </w:t>
            </w:r>
            <w:proofErr w:type="spellStart"/>
            <w:r w:rsidR="00A04251" w:rsidRPr="006372D9">
              <w:rPr>
                <w:rFonts w:ascii="Lato" w:eastAsia="Times New Roman" w:hAnsi="Lato" w:cs="Calibri"/>
                <w:color w:val="000000" w:themeColor="text1"/>
              </w:rPr>
              <w:t>Papalotzi</w:t>
            </w:r>
            <w:proofErr w:type="spellEnd"/>
            <w:r w:rsidR="00A04251" w:rsidRPr="006372D9">
              <w:rPr>
                <w:rFonts w:ascii="Lato" w:eastAsia="Times New Roman" w:hAnsi="Lato" w:cs="Calibri"/>
                <w:color w:val="000000" w:themeColor="text1"/>
              </w:rPr>
              <w:t xml:space="preserve">  </w:t>
            </w:r>
          </w:p>
          <w:p w14:paraId="4694DE2F" w14:textId="77777777" w:rsidR="00A04251" w:rsidRPr="006372D9" w:rsidRDefault="00A04251" w:rsidP="00E03740">
            <w:pPr>
              <w:tabs>
                <w:tab w:val="left" w:pos="5954"/>
              </w:tabs>
              <w:spacing w:after="0" w:line="240" w:lineRule="auto"/>
              <w:jc w:val="center"/>
              <w:rPr>
                <w:rFonts w:ascii="Lato" w:eastAsia="Times New Roman" w:hAnsi="Lato" w:cs="Calibri"/>
                <w:color w:val="000000" w:themeColor="text1"/>
              </w:rPr>
            </w:pPr>
            <w:r w:rsidRPr="006372D9">
              <w:rPr>
                <w:rFonts w:ascii="Lato" w:eastAsia="Times New Roman" w:hAnsi="Lato" w:cs="Calibri"/>
                <w:color w:val="000000" w:themeColor="text1"/>
              </w:rPr>
              <w:t>Integrante del Consejo de la Judicatura del Estado de Tlaxcala</w:t>
            </w:r>
          </w:p>
        </w:tc>
        <w:tc>
          <w:tcPr>
            <w:tcW w:w="283" w:type="dxa"/>
          </w:tcPr>
          <w:p w14:paraId="581C7F60" w14:textId="77777777" w:rsidR="00A04251" w:rsidRPr="006372D9" w:rsidRDefault="00A04251" w:rsidP="00E03740">
            <w:pPr>
              <w:tabs>
                <w:tab w:val="left" w:pos="5954"/>
              </w:tabs>
              <w:spacing w:after="0" w:line="240" w:lineRule="auto"/>
              <w:jc w:val="both"/>
              <w:rPr>
                <w:rFonts w:ascii="Lato" w:eastAsia="Times New Roman" w:hAnsi="Lato" w:cs="Calibri"/>
                <w:color w:val="000000" w:themeColor="text1"/>
              </w:rPr>
            </w:pPr>
          </w:p>
          <w:p w14:paraId="584F5898" w14:textId="77777777" w:rsidR="00A04251" w:rsidRPr="006372D9" w:rsidRDefault="00A04251" w:rsidP="00E03740">
            <w:pPr>
              <w:tabs>
                <w:tab w:val="left" w:pos="5954"/>
              </w:tabs>
              <w:spacing w:after="0" w:line="240" w:lineRule="auto"/>
              <w:jc w:val="both"/>
              <w:rPr>
                <w:rFonts w:ascii="Lato" w:eastAsia="Times New Roman" w:hAnsi="Lato" w:cs="Calibri"/>
                <w:color w:val="000000" w:themeColor="text1"/>
              </w:rPr>
            </w:pPr>
          </w:p>
          <w:p w14:paraId="7706AD6F" w14:textId="77777777" w:rsidR="00A04251" w:rsidRPr="006372D9" w:rsidRDefault="00A04251" w:rsidP="00E03740">
            <w:pPr>
              <w:tabs>
                <w:tab w:val="left" w:pos="5954"/>
              </w:tabs>
              <w:spacing w:after="0" w:line="240" w:lineRule="auto"/>
              <w:jc w:val="both"/>
              <w:rPr>
                <w:rFonts w:ascii="Lato" w:eastAsia="Times New Roman" w:hAnsi="Lato" w:cs="Calibri"/>
                <w:color w:val="000000" w:themeColor="text1"/>
              </w:rPr>
            </w:pPr>
          </w:p>
        </w:tc>
        <w:tc>
          <w:tcPr>
            <w:tcW w:w="3969" w:type="dxa"/>
          </w:tcPr>
          <w:p w14:paraId="563882F2" w14:textId="77777777" w:rsidR="00A04251" w:rsidRPr="006372D9" w:rsidRDefault="00A04251" w:rsidP="00E03740">
            <w:pPr>
              <w:tabs>
                <w:tab w:val="left" w:pos="5954"/>
              </w:tabs>
              <w:spacing w:after="0" w:line="240" w:lineRule="auto"/>
              <w:jc w:val="center"/>
              <w:rPr>
                <w:rFonts w:ascii="Lato" w:eastAsia="Times New Roman" w:hAnsi="Lato" w:cs="Calibri"/>
                <w:color w:val="000000" w:themeColor="text1"/>
              </w:rPr>
            </w:pPr>
            <w:r w:rsidRPr="006372D9">
              <w:rPr>
                <w:rFonts w:ascii="Lato" w:eastAsia="Times New Roman" w:hAnsi="Lato" w:cs="Calibri"/>
                <w:color w:val="000000" w:themeColor="text1"/>
              </w:rPr>
              <w:t>Lcda. Violeta Fernández Vázquez Integrante del Consejo de la Judicatura del Estado de Tlaxcala</w:t>
            </w:r>
          </w:p>
        </w:tc>
      </w:tr>
    </w:tbl>
    <w:p w14:paraId="1FE51D28" w14:textId="77777777" w:rsidR="00A04251" w:rsidRDefault="00A04251" w:rsidP="00E03740">
      <w:pPr>
        <w:spacing w:after="0" w:line="480" w:lineRule="auto"/>
        <w:jc w:val="both"/>
        <w:rPr>
          <w:rFonts w:ascii="Lato" w:hAnsi="Lato"/>
          <w:b/>
          <w:bCs/>
        </w:rPr>
      </w:pPr>
    </w:p>
    <w:p w14:paraId="3CC531F0" w14:textId="77777777" w:rsidR="000A20CA" w:rsidRDefault="000A20CA" w:rsidP="00E03740">
      <w:pPr>
        <w:spacing w:after="0" w:line="480" w:lineRule="auto"/>
        <w:jc w:val="both"/>
        <w:rPr>
          <w:rFonts w:ascii="Lato" w:hAnsi="Lato"/>
          <w:b/>
          <w:bCs/>
        </w:rPr>
      </w:pPr>
    </w:p>
    <w:tbl>
      <w:tblPr>
        <w:tblpPr w:leftFromText="141" w:rightFromText="141" w:vertAnchor="text" w:horzAnchor="margin" w:tblpY="130"/>
        <w:tblW w:w="8075" w:type="dxa"/>
        <w:tblLook w:val="04A0" w:firstRow="1" w:lastRow="0" w:firstColumn="1" w:lastColumn="0" w:noHBand="0" w:noVBand="1"/>
      </w:tblPr>
      <w:tblGrid>
        <w:gridCol w:w="3823"/>
        <w:gridCol w:w="283"/>
        <w:gridCol w:w="3969"/>
      </w:tblGrid>
      <w:tr w:rsidR="000A20CA" w:rsidRPr="006372D9" w14:paraId="1BF22805" w14:textId="77777777" w:rsidTr="00C06AB3">
        <w:trPr>
          <w:trHeight w:val="317"/>
        </w:trPr>
        <w:tc>
          <w:tcPr>
            <w:tcW w:w="8075" w:type="dxa"/>
            <w:gridSpan w:val="3"/>
          </w:tcPr>
          <w:p w14:paraId="1D801975"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p>
          <w:p w14:paraId="565D5480" w14:textId="77777777" w:rsidR="000A20CA" w:rsidRDefault="000A20CA" w:rsidP="00C06AB3">
            <w:pPr>
              <w:tabs>
                <w:tab w:val="left" w:pos="5954"/>
              </w:tabs>
              <w:spacing w:after="0" w:line="240" w:lineRule="auto"/>
              <w:jc w:val="both"/>
              <w:rPr>
                <w:rFonts w:ascii="Lato" w:eastAsia="Times New Roman" w:hAnsi="Lato" w:cs="Calibri"/>
                <w:color w:val="000000" w:themeColor="text1"/>
              </w:rPr>
            </w:pPr>
          </w:p>
          <w:p w14:paraId="557F98C7" w14:textId="77777777" w:rsidR="000A20CA" w:rsidRDefault="000A20CA" w:rsidP="00C06AB3">
            <w:pPr>
              <w:tabs>
                <w:tab w:val="left" w:pos="5954"/>
              </w:tabs>
              <w:spacing w:after="0" w:line="240" w:lineRule="auto"/>
              <w:jc w:val="both"/>
              <w:rPr>
                <w:rFonts w:ascii="Lato" w:eastAsia="Times New Roman" w:hAnsi="Lato" w:cs="Calibri"/>
                <w:color w:val="000000" w:themeColor="text1"/>
              </w:rPr>
            </w:pPr>
          </w:p>
          <w:p w14:paraId="1B14E1D0" w14:textId="77777777" w:rsidR="000A20CA" w:rsidRDefault="000A20CA" w:rsidP="00C06AB3">
            <w:pPr>
              <w:tabs>
                <w:tab w:val="left" w:pos="5954"/>
              </w:tabs>
              <w:spacing w:after="0" w:line="240" w:lineRule="auto"/>
              <w:jc w:val="both"/>
              <w:rPr>
                <w:rFonts w:ascii="Lato" w:eastAsia="Times New Roman" w:hAnsi="Lato" w:cs="Calibri"/>
                <w:color w:val="000000" w:themeColor="text1"/>
              </w:rPr>
            </w:pPr>
          </w:p>
          <w:p w14:paraId="0B27A209" w14:textId="77777777" w:rsidR="000A20CA" w:rsidRDefault="000A20CA" w:rsidP="00C06AB3">
            <w:pPr>
              <w:tabs>
                <w:tab w:val="left" w:pos="5954"/>
              </w:tabs>
              <w:spacing w:after="0" w:line="240" w:lineRule="auto"/>
              <w:jc w:val="both"/>
              <w:rPr>
                <w:rFonts w:ascii="Lato" w:eastAsia="Times New Roman" w:hAnsi="Lato" w:cs="Calibri"/>
                <w:color w:val="000000" w:themeColor="text1"/>
              </w:rPr>
            </w:pPr>
          </w:p>
          <w:p w14:paraId="0A7FF2F6" w14:textId="77777777" w:rsidR="000A20CA" w:rsidRPr="006372D9" w:rsidRDefault="000A20CA" w:rsidP="00C06AB3">
            <w:pPr>
              <w:spacing w:before="100" w:beforeAutospacing="1" w:after="100" w:afterAutospacing="1" w:line="240" w:lineRule="auto"/>
              <w:jc w:val="both"/>
              <w:rPr>
                <w:rFonts w:ascii="Lato" w:eastAsia="Times New Roman" w:hAnsi="Lato" w:cs="Calibri"/>
                <w:color w:val="000000" w:themeColor="text1"/>
                <w:lang w:eastAsia="es-MX"/>
              </w:rPr>
            </w:pPr>
            <w:r w:rsidRPr="0014694C">
              <w:rPr>
                <w:rFonts w:ascii="Lato" w:eastAsia="Times New Roman" w:hAnsi="Lato" w:cs="Calibri"/>
                <w:b/>
                <w:bCs/>
                <w:color w:val="000000" w:themeColor="text1"/>
                <w:lang w:eastAsia="es-MX"/>
              </w:rPr>
              <w:t>CONTINUACIÓN DEL</w:t>
            </w:r>
            <w:r>
              <w:rPr>
                <w:rFonts w:ascii="Lato" w:eastAsia="Times New Roman" w:hAnsi="Lato" w:cs="Calibri"/>
                <w:color w:val="000000" w:themeColor="text1"/>
                <w:lang w:eastAsia="es-MX"/>
              </w:rPr>
              <w:t xml:space="preserve"> </w:t>
            </w:r>
            <w:r>
              <w:rPr>
                <w:rFonts w:ascii="Lato" w:hAnsi="Lato"/>
                <w:b/>
              </w:rPr>
              <w:t xml:space="preserve">ACTA DE </w:t>
            </w:r>
            <w:r w:rsidRPr="006372D9">
              <w:rPr>
                <w:rFonts w:ascii="Lato" w:hAnsi="Lato"/>
                <w:b/>
              </w:rPr>
              <w:t>SESIÓN EXTRAORDINARIA PRIVADA DEL CONSEJO DE LA JUDICATURA DEL ESTADO DE TLAXCALA</w:t>
            </w:r>
            <w:r>
              <w:rPr>
                <w:rFonts w:ascii="Lato" w:hAnsi="Lato"/>
                <w:b/>
              </w:rPr>
              <w:t xml:space="preserve">, CELEBRADA A LAS </w:t>
            </w:r>
            <w:r>
              <w:rPr>
                <w:rFonts w:ascii="Lato" w:hAnsi="Lato" w:cstheme="minorHAnsi"/>
                <w:b/>
              </w:rPr>
              <w:t>T</w:t>
            </w:r>
            <w:r w:rsidRPr="006372D9">
              <w:rPr>
                <w:rFonts w:ascii="Lato" w:hAnsi="Lato" w:cstheme="minorHAnsi"/>
                <w:b/>
              </w:rPr>
              <w:t>RECE HORAS CON TREINTA MINUTOS DEL VEINTIUNO DE MARZO DE DOS MIL VEINTICUATRO</w:t>
            </w:r>
            <w:r>
              <w:rPr>
                <w:rFonts w:ascii="Lato" w:hAnsi="Lato" w:cstheme="minorHAnsi"/>
                <w:b/>
              </w:rPr>
              <w:t>.</w:t>
            </w:r>
          </w:p>
          <w:p w14:paraId="699889FA" w14:textId="77777777" w:rsidR="000A20CA" w:rsidRPr="006372D9" w:rsidRDefault="000A20CA" w:rsidP="00C06AB3">
            <w:pPr>
              <w:tabs>
                <w:tab w:val="left" w:pos="5954"/>
              </w:tabs>
              <w:spacing w:after="0" w:line="240" w:lineRule="auto"/>
              <w:jc w:val="both"/>
              <w:rPr>
                <w:rFonts w:ascii="Lato" w:eastAsia="Times New Roman" w:hAnsi="Lato" w:cs="Calibri"/>
                <w:color w:val="000000" w:themeColor="text1"/>
              </w:rPr>
            </w:pPr>
          </w:p>
        </w:tc>
      </w:tr>
      <w:tr w:rsidR="000A20CA" w:rsidRPr="006372D9" w14:paraId="063700D8" w14:textId="77777777" w:rsidTr="00C06AB3">
        <w:trPr>
          <w:trHeight w:val="317"/>
        </w:trPr>
        <w:tc>
          <w:tcPr>
            <w:tcW w:w="3823" w:type="dxa"/>
          </w:tcPr>
          <w:p w14:paraId="33F60662"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p>
          <w:p w14:paraId="005FAAC8"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p>
          <w:p w14:paraId="71277193" w14:textId="77777777" w:rsidR="000A20CA" w:rsidRDefault="000A20CA" w:rsidP="00C06AB3">
            <w:pPr>
              <w:tabs>
                <w:tab w:val="left" w:pos="5954"/>
              </w:tabs>
              <w:spacing w:after="0" w:line="240" w:lineRule="auto"/>
              <w:jc w:val="center"/>
              <w:rPr>
                <w:rFonts w:ascii="Lato" w:eastAsia="Times New Roman" w:hAnsi="Lato" w:cs="Calibri"/>
                <w:color w:val="000000" w:themeColor="text1"/>
              </w:rPr>
            </w:pPr>
          </w:p>
          <w:p w14:paraId="113D1A14" w14:textId="77777777" w:rsidR="000A20CA" w:rsidRDefault="000A20CA" w:rsidP="00C06AB3">
            <w:pPr>
              <w:tabs>
                <w:tab w:val="left" w:pos="5954"/>
              </w:tabs>
              <w:spacing w:after="0" w:line="240" w:lineRule="auto"/>
              <w:jc w:val="center"/>
              <w:rPr>
                <w:rFonts w:ascii="Lato" w:eastAsia="Times New Roman" w:hAnsi="Lato" w:cs="Calibri"/>
                <w:color w:val="000000" w:themeColor="text1"/>
              </w:rPr>
            </w:pPr>
          </w:p>
          <w:p w14:paraId="701E34EC"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p>
          <w:p w14:paraId="51E142C3"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p>
          <w:p w14:paraId="49CB0496" w14:textId="77777777" w:rsidR="000A20CA" w:rsidRDefault="000A20CA" w:rsidP="00C06AB3">
            <w:pPr>
              <w:tabs>
                <w:tab w:val="left" w:pos="5954"/>
              </w:tabs>
              <w:spacing w:after="0" w:line="240" w:lineRule="auto"/>
              <w:jc w:val="center"/>
              <w:rPr>
                <w:rFonts w:ascii="Lato" w:eastAsia="Times New Roman" w:hAnsi="Lato" w:cs="Calibri"/>
                <w:color w:val="000000" w:themeColor="text1"/>
              </w:rPr>
            </w:pPr>
          </w:p>
          <w:p w14:paraId="0C7BCEDA"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p>
          <w:p w14:paraId="04BB4B4E"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p>
          <w:p w14:paraId="2044951A"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r w:rsidRPr="006372D9">
              <w:rPr>
                <w:rFonts w:ascii="Lato" w:eastAsia="Times New Roman" w:hAnsi="Lato" w:cs="Calibri"/>
                <w:color w:val="000000" w:themeColor="text1"/>
              </w:rPr>
              <w:t>Mtra. Edith Alejandra Segura Payán</w:t>
            </w:r>
          </w:p>
          <w:p w14:paraId="0218CEE8"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r w:rsidRPr="006372D9">
              <w:rPr>
                <w:rFonts w:ascii="Lato" w:eastAsia="Times New Roman" w:hAnsi="Lato" w:cs="Calibri"/>
                <w:color w:val="000000" w:themeColor="text1"/>
              </w:rPr>
              <w:t>Integrante del Consejo de la Judicatura del Estado de Tlaxcala</w:t>
            </w:r>
          </w:p>
        </w:tc>
        <w:tc>
          <w:tcPr>
            <w:tcW w:w="283" w:type="dxa"/>
          </w:tcPr>
          <w:p w14:paraId="0CC64033" w14:textId="77777777" w:rsidR="000A20CA" w:rsidRPr="006372D9" w:rsidRDefault="000A20CA" w:rsidP="00C06AB3">
            <w:pPr>
              <w:tabs>
                <w:tab w:val="left" w:pos="5954"/>
              </w:tabs>
              <w:spacing w:after="0" w:line="240" w:lineRule="auto"/>
              <w:jc w:val="both"/>
              <w:rPr>
                <w:rFonts w:ascii="Lato" w:eastAsia="Times New Roman" w:hAnsi="Lato" w:cs="Calibri"/>
                <w:color w:val="000000" w:themeColor="text1"/>
              </w:rPr>
            </w:pPr>
          </w:p>
        </w:tc>
        <w:tc>
          <w:tcPr>
            <w:tcW w:w="3969" w:type="dxa"/>
          </w:tcPr>
          <w:p w14:paraId="2C99948F"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p>
          <w:p w14:paraId="1AE50CFB"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p>
          <w:p w14:paraId="602FB802"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p>
          <w:p w14:paraId="21B31D7A"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p>
          <w:p w14:paraId="6F7E8CF6"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p>
          <w:p w14:paraId="64F2A9AF" w14:textId="77777777" w:rsidR="000A20CA" w:rsidRDefault="000A20CA" w:rsidP="00C06AB3">
            <w:pPr>
              <w:tabs>
                <w:tab w:val="left" w:pos="5954"/>
              </w:tabs>
              <w:spacing w:after="0" w:line="240" w:lineRule="auto"/>
              <w:jc w:val="center"/>
              <w:rPr>
                <w:rFonts w:ascii="Lato" w:eastAsia="Times New Roman" w:hAnsi="Lato" w:cs="Calibri"/>
                <w:color w:val="000000" w:themeColor="text1"/>
              </w:rPr>
            </w:pPr>
          </w:p>
          <w:p w14:paraId="4C648334" w14:textId="77777777" w:rsidR="000A20CA" w:rsidRDefault="000A20CA" w:rsidP="00C06AB3">
            <w:pPr>
              <w:tabs>
                <w:tab w:val="left" w:pos="5954"/>
              </w:tabs>
              <w:spacing w:after="0" w:line="240" w:lineRule="auto"/>
              <w:jc w:val="center"/>
              <w:rPr>
                <w:rFonts w:ascii="Lato" w:eastAsia="Times New Roman" w:hAnsi="Lato" w:cs="Calibri"/>
                <w:color w:val="000000" w:themeColor="text1"/>
              </w:rPr>
            </w:pPr>
          </w:p>
          <w:p w14:paraId="470A398E" w14:textId="77777777" w:rsidR="000A20CA" w:rsidRDefault="000A20CA" w:rsidP="00C06AB3">
            <w:pPr>
              <w:tabs>
                <w:tab w:val="left" w:pos="5954"/>
              </w:tabs>
              <w:spacing w:after="0" w:line="240" w:lineRule="auto"/>
              <w:jc w:val="center"/>
              <w:rPr>
                <w:rFonts w:ascii="Lato" w:eastAsia="Times New Roman" w:hAnsi="Lato" w:cs="Calibri"/>
                <w:color w:val="000000" w:themeColor="text1"/>
              </w:rPr>
            </w:pPr>
          </w:p>
          <w:p w14:paraId="6E4EEA5A"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p>
          <w:p w14:paraId="648182DE"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r w:rsidRPr="006372D9">
              <w:rPr>
                <w:rFonts w:ascii="Lato" w:eastAsia="Times New Roman" w:hAnsi="Lato" w:cs="Calibri"/>
                <w:color w:val="000000" w:themeColor="text1"/>
              </w:rPr>
              <w:t xml:space="preserve">Lcdo. Rey David González </w:t>
            </w:r>
            <w:proofErr w:type="spellStart"/>
            <w:r w:rsidRPr="006372D9">
              <w:rPr>
                <w:rFonts w:ascii="Lato" w:eastAsia="Times New Roman" w:hAnsi="Lato" w:cs="Calibri"/>
                <w:color w:val="000000" w:themeColor="text1"/>
              </w:rPr>
              <w:t>González</w:t>
            </w:r>
            <w:proofErr w:type="spellEnd"/>
          </w:p>
          <w:p w14:paraId="5786685F"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r w:rsidRPr="006372D9">
              <w:rPr>
                <w:rFonts w:ascii="Lato" w:eastAsia="Times New Roman" w:hAnsi="Lato" w:cs="Calibri"/>
                <w:color w:val="000000" w:themeColor="text1"/>
              </w:rPr>
              <w:t>Integrante del Consejo de la Judicatura del Estado de Tlaxcala</w:t>
            </w:r>
          </w:p>
          <w:p w14:paraId="5A5EE9AA"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p>
        </w:tc>
      </w:tr>
      <w:tr w:rsidR="000A20CA" w:rsidRPr="006372D9" w14:paraId="6166167F" w14:textId="77777777" w:rsidTr="00C06AB3">
        <w:trPr>
          <w:trHeight w:val="317"/>
        </w:trPr>
        <w:tc>
          <w:tcPr>
            <w:tcW w:w="3823" w:type="dxa"/>
          </w:tcPr>
          <w:p w14:paraId="07280908"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p>
          <w:p w14:paraId="25EF31FA" w14:textId="77777777" w:rsidR="000A20CA" w:rsidRPr="006372D9" w:rsidRDefault="000A20CA" w:rsidP="00C06AB3">
            <w:pPr>
              <w:tabs>
                <w:tab w:val="left" w:pos="5954"/>
              </w:tabs>
              <w:spacing w:after="0" w:line="240" w:lineRule="auto"/>
              <w:rPr>
                <w:rFonts w:ascii="Lato" w:eastAsia="Times New Roman" w:hAnsi="Lato" w:cs="Calibri"/>
                <w:color w:val="000000" w:themeColor="text1"/>
              </w:rPr>
            </w:pPr>
          </w:p>
        </w:tc>
        <w:tc>
          <w:tcPr>
            <w:tcW w:w="283" w:type="dxa"/>
          </w:tcPr>
          <w:p w14:paraId="645D14E4" w14:textId="77777777" w:rsidR="000A20CA" w:rsidRPr="006372D9" w:rsidRDefault="000A20CA" w:rsidP="00C06AB3">
            <w:pPr>
              <w:tabs>
                <w:tab w:val="left" w:pos="5954"/>
              </w:tabs>
              <w:spacing w:after="0" w:line="240" w:lineRule="auto"/>
              <w:jc w:val="both"/>
              <w:rPr>
                <w:rFonts w:ascii="Lato" w:eastAsia="Times New Roman" w:hAnsi="Lato" w:cs="Calibri"/>
                <w:color w:val="000000" w:themeColor="text1"/>
              </w:rPr>
            </w:pPr>
          </w:p>
          <w:p w14:paraId="61F75D32" w14:textId="77777777" w:rsidR="000A20CA" w:rsidRPr="006372D9" w:rsidRDefault="000A20CA" w:rsidP="00C06AB3">
            <w:pPr>
              <w:tabs>
                <w:tab w:val="left" w:pos="5954"/>
              </w:tabs>
              <w:spacing w:after="0" w:line="240" w:lineRule="auto"/>
              <w:jc w:val="both"/>
              <w:rPr>
                <w:rFonts w:ascii="Lato" w:eastAsia="Times New Roman" w:hAnsi="Lato" w:cs="Calibri"/>
                <w:color w:val="000000" w:themeColor="text1"/>
              </w:rPr>
            </w:pPr>
          </w:p>
        </w:tc>
        <w:tc>
          <w:tcPr>
            <w:tcW w:w="3969" w:type="dxa"/>
          </w:tcPr>
          <w:p w14:paraId="69BF365B"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p>
          <w:p w14:paraId="6795302D" w14:textId="77777777" w:rsidR="000A20CA" w:rsidRPr="006372D9" w:rsidRDefault="000A20CA" w:rsidP="00C06AB3">
            <w:pPr>
              <w:tabs>
                <w:tab w:val="left" w:pos="5954"/>
              </w:tabs>
              <w:spacing w:after="0" w:line="240" w:lineRule="auto"/>
              <w:rPr>
                <w:rFonts w:ascii="Lato" w:eastAsia="Times New Roman" w:hAnsi="Lato" w:cs="Calibri"/>
                <w:color w:val="000000" w:themeColor="text1"/>
              </w:rPr>
            </w:pPr>
          </w:p>
        </w:tc>
      </w:tr>
      <w:tr w:rsidR="000A20CA" w:rsidRPr="006372D9" w14:paraId="55AAAA2B" w14:textId="77777777" w:rsidTr="00C06AB3">
        <w:trPr>
          <w:trHeight w:val="317"/>
        </w:trPr>
        <w:tc>
          <w:tcPr>
            <w:tcW w:w="8075" w:type="dxa"/>
            <w:gridSpan w:val="3"/>
          </w:tcPr>
          <w:p w14:paraId="2479F269" w14:textId="77777777" w:rsidR="000A20CA" w:rsidRDefault="000A20CA" w:rsidP="00C06AB3">
            <w:pPr>
              <w:tabs>
                <w:tab w:val="left" w:pos="5954"/>
              </w:tabs>
              <w:spacing w:after="0" w:line="240" w:lineRule="auto"/>
              <w:jc w:val="center"/>
              <w:rPr>
                <w:rFonts w:ascii="Lato" w:eastAsia="Times New Roman" w:hAnsi="Lato" w:cs="Calibri"/>
                <w:b/>
                <w:bCs/>
                <w:color w:val="000000" w:themeColor="text1"/>
                <w:lang w:val="en-US"/>
              </w:rPr>
            </w:pPr>
          </w:p>
          <w:p w14:paraId="75556BAD" w14:textId="77777777" w:rsidR="000A20CA" w:rsidRDefault="000A20CA" w:rsidP="00C06AB3">
            <w:pPr>
              <w:tabs>
                <w:tab w:val="left" w:pos="5954"/>
              </w:tabs>
              <w:spacing w:after="0" w:line="240" w:lineRule="auto"/>
              <w:jc w:val="center"/>
              <w:rPr>
                <w:rFonts w:ascii="Lato" w:eastAsia="Times New Roman" w:hAnsi="Lato" w:cs="Calibri"/>
                <w:b/>
                <w:bCs/>
                <w:color w:val="000000" w:themeColor="text1"/>
                <w:lang w:val="en-US"/>
              </w:rPr>
            </w:pPr>
          </w:p>
          <w:p w14:paraId="6910BB44" w14:textId="77777777" w:rsidR="000A20CA" w:rsidRDefault="000A20CA" w:rsidP="00C06AB3">
            <w:pPr>
              <w:tabs>
                <w:tab w:val="left" w:pos="5954"/>
              </w:tabs>
              <w:spacing w:after="0" w:line="240" w:lineRule="auto"/>
              <w:jc w:val="center"/>
              <w:rPr>
                <w:rFonts w:ascii="Lato" w:eastAsia="Times New Roman" w:hAnsi="Lato" w:cs="Calibri"/>
                <w:b/>
                <w:bCs/>
                <w:color w:val="000000" w:themeColor="text1"/>
                <w:lang w:val="en-US"/>
              </w:rPr>
            </w:pPr>
          </w:p>
          <w:p w14:paraId="41ECFD70" w14:textId="77777777" w:rsidR="000A20CA" w:rsidRPr="006372D9" w:rsidRDefault="000A20CA" w:rsidP="00C06AB3">
            <w:pPr>
              <w:tabs>
                <w:tab w:val="left" w:pos="5954"/>
              </w:tabs>
              <w:spacing w:after="0" w:line="240" w:lineRule="auto"/>
              <w:jc w:val="center"/>
              <w:rPr>
                <w:rFonts w:ascii="Lato" w:eastAsia="Times New Roman" w:hAnsi="Lato" w:cs="Calibri"/>
                <w:b/>
                <w:bCs/>
                <w:color w:val="000000" w:themeColor="text1"/>
                <w:lang w:val="en-US"/>
              </w:rPr>
            </w:pPr>
          </w:p>
          <w:p w14:paraId="3BC39472" w14:textId="77777777" w:rsidR="000A20CA" w:rsidRPr="006372D9" w:rsidRDefault="000A20CA" w:rsidP="00C06AB3">
            <w:pPr>
              <w:tabs>
                <w:tab w:val="left" w:pos="5954"/>
              </w:tabs>
              <w:spacing w:after="0" w:line="240" w:lineRule="auto"/>
              <w:jc w:val="center"/>
              <w:rPr>
                <w:rFonts w:ascii="Lato" w:eastAsia="Times New Roman" w:hAnsi="Lato" w:cs="Calibri"/>
                <w:b/>
                <w:bCs/>
                <w:color w:val="000000" w:themeColor="text1"/>
                <w:lang w:val="en-US"/>
              </w:rPr>
            </w:pPr>
          </w:p>
          <w:p w14:paraId="59229C53" w14:textId="77777777" w:rsidR="000A20CA" w:rsidRPr="006372D9" w:rsidRDefault="000A20CA" w:rsidP="00C06AB3">
            <w:pPr>
              <w:tabs>
                <w:tab w:val="left" w:pos="5954"/>
              </w:tabs>
              <w:spacing w:after="0" w:line="240" w:lineRule="auto"/>
              <w:jc w:val="center"/>
              <w:rPr>
                <w:rFonts w:ascii="Lato" w:eastAsia="Times New Roman" w:hAnsi="Lato" w:cs="Calibri"/>
                <w:b/>
                <w:bCs/>
                <w:color w:val="000000" w:themeColor="text1"/>
                <w:lang w:val="en-US"/>
              </w:rPr>
            </w:pPr>
            <w:r w:rsidRPr="006372D9">
              <w:rPr>
                <w:rFonts w:ascii="Lato" w:eastAsia="Times New Roman" w:hAnsi="Lato" w:cs="Calibri"/>
                <w:b/>
                <w:bCs/>
                <w:color w:val="000000" w:themeColor="text1"/>
                <w:lang w:val="en-US"/>
              </w:rPr>
              <w:t>DOY FE</w:t>
            </w:r>
          </w:p>
          <w:p w14:paraId="1FD3FDDC" w14:textId="77777777" w:rsidR="000A20CA" w:rsidRPr="006372D9" w:rsidRDefault="000A20CA" w:rsidP="00C06AB3">
            <w:pPr>
              <w:tabs>
                <w:tab w:val="left" w:pos="5954"/>
              </w:tabs>
              <w:spacing w:after="0" w:line="240" w:lineRule="auto"/>
              <w:jc w:val="center"/>
              <w:rPr>
                <w:rFonts w:ascii="Lato" w:eastAsia="Times New Roman" w:hAnsi="Lato" w:cs="Calibri"/>
                <w:b/>
                <w:bCs/>
                <w:color w:val="000000" w:themeColor="text1"/>
                <w:lang w:val="en-US"/>
              </w:rPr>
            </w:pPr>
          </w:p>
          <w:p w14:paraId="22BEB55E" w14:textId="77777777" w:rsidR="000A20CA" w:rsidRPr="006372D9" w:rsidRDefault="000A20CA" w:rsidP="00C06AB3">
            <w:pPr>
              <w:tabs>
                <w:tab w:val="left" w:pos="5954"/>
              </w:tabs>
              <w:spacing w:after="0" w:line="240" w:lineRule="auto"/>
              <w:jc w:val="center"/>
              <w:rPr>
                <w:rFonts w:ascii="Lato" w:eastAsia="Times New Roman" w:hAnsi="Lato" w:cs="Calibri"/>
                <w:b/>
                <w:bCs/>
                <w:color w:val="000000" w:themeColor="text1"/>
                <w:lang w:val="en-US"/>
              </w:rPr>
            </w:pPr>
          </w:p>
          <w:p w14:paraId="0940A5D4" w14:textId="77777777" w:rsidR="000A20CA" w:rsidRPr="006372D9" w:rsidRDefault="000A20CA" w:rsidP="00C06AB3">
            <w:pPr>
              <w:tabs>
                <w:tab w:val="left" w:pos="5954"/>
              </w:tabs>
              <w:spacing w:after="0" w:line="240" w:lineRule="auto"/>
              <w:jc w:val="center"/>
              <w:rPr>
                <w:rFonts w:ascii="Lato" w:eastAsia="Times New Roman" w:hAnsi="Lato" w:cs="Calibri"/>
                <w:b/>
                <w:bCs/>
                <w:color w:val="000000" w:themeColor="text1"/>
                <w:lang w:val="en-US"/>
              </w:rPr>
            </w:pPr>
          </w:p>
          <w:p w14:paraId="10265EDB" w14:textId="77777777" w:rsidR="000A20CA" w:rsidRPr="006372D9" w:rsidRDefault="000A20CA" w:rsidP="00C06AB3">
            <w:pPr>
              <w:tabs>
                <w:tab w:val="left" w:pos="5954"/>
              </w:tabs>
              <w:spacing w:after="0" w:line="240" w:lineRule="auto"/>
              <w:jc w:val="center"/>
              <w:rPr>
                <w:rFonts w:ascii="Lato" w:eastAsia="Times New Roman" w:hAnsi="Lato" w:cs="Calibri"/>
                <w:b/>
                <w:bCs/>
                <w:color w:val="000000" w:themeColor="text1"/>
                <w:lang w:val="en-US"/>
              </w:rPr>
            </w:pPr>
          </w:p>
          <w:p w14:paraId="2B11AAD0"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lang w:val="en-US"/>
              </w:rPr>
            </w:pPr>
          </w:p>
          <w:p w14:paraId="5FD2AA54"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lang w:val="en-US"/>
              </w:rPr>
            </w:pPr>
            <w:proofErr w:type="spellStart"/>
            <w:r w:rsidRPr="006372D9">
              <w:rPr>
                <w:rFonts w:ascii="Lato" w:eastAsia="Times New Roman" w:hAnsi="Lato" w:cs="Calibri"/>
                <w:color w:val="000000" w:themeColor="text1"/>
                <w:lang w:val="en-US"/>
              </w:rPr>
              <w:t>Lcda</w:t>
            </w:r>
            <w:proofErr w:type="spellEnd"/>
            <w:r w:rsidRPr="006372D9">
              <w:rPr>
                <w:rFonts w:ascii="Lato" w:eastAsia="Times New Roman" w:hAnsi="Lato" w:cs="Calibri"/>
                <w:color w:val="000000" w:themeColor="text1"/>
                <w:lang w:val="en-US"/>
              </w:rPr>
              <w:t xml:space="preserve">. Midory Castro Bañuelos </w:t>
            </w:r>
          </w:p>
          <w:p w14:paraId="2FDD3E45" w14:textId="77777777" w:rsidR="000A20CA" w:rsidRPr="006372D9" w:rsidRDefault="000A20CA" w:rsidP="00C06AB3">
            <w:pPr>
              <w:tabs>
                <w:tab w:val="left" w:pos="5954"/>
              </w:tabs>
              <w:spacing w:after="0" w:line="240" w:lineRule="auto"/>
              <w:jc w:val="center"/>
              <w:rPr>
                <w:rFonts w:ascii="Lato" w:eastAsia="Times New Roman" w:hAnsi="Lato" w:cs="Calibri"/>
                <w:color w:val="000000" w:themeColor="text1"/>
              </w:rPr>
            </w:pPr>
            <w:r w:rsidRPr="006372D9">
              <w:rPr>
                <w:rFonts w:ascii="Lato" w:eastAsia="Times New Roman" w:hAnsi="Lato" w:cs="Calibri"/>
                <w:color w:val="000000" w:themeColor="text1"/>
              </w:rPr>
              <w:t xml:space="preserve">Secretaria Ejecutiva del Consejo de la Judicatura del Estado de Tlaxcala.  </w:t>
            </w:r>
          </w:p>
        </w:tc>
      </w:tr>
    </w:tbl>
    <w:p w14:paraId="13C23BE2" w14:textId="77777777" w:rsidR="000A20CA" w:rsidRPr="006372D9" w:rsidRDefault="000A20CA" w:rsidP="00E03740">
      <w:pPr>
        <w:spacing w:after="0" w:line="480" w:lineRule="auto"/>
        <w:jc w:val="both"/>
        <w:rPr>
          <w:rFonts w:ascii="Lato" w:hAnsi="Lato"/>
          <w:b/>
          <w:bCs/>
        </w:rPr>
      </w:pPr>
    </w:p>
    <w:sectPr w:rsidR="000A20CA" w:rsidRPr="006372D9" w:rsidSect="00FA1313">
      <w:headerReference w:type="default" r:id="rId11"/>
      <w:footerReference w:type="default" r:id="rId12"/>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B076E5" w14:textId="77777777" w:rsidR="00FA1313" w:rsidRDefault="00FA1313">
      <w:pPr>
        <w:spacing w:after="0" w:line="240" w:lineRule="auto"/>
      </w:pPr>
      <w:r>
        <w:separator/>
      </w:r>
    </w:p>
  </w:endnote>
  <w:endnote w:type="continuationSeparator" w:id="0">
    <w:p w14:paraId="152A0409" w14:textId="77777777" w:rsidR="00FA1313" w:rsidRDefault="00FA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69C712" w14:textId="77777777" w:rsidR="00FA1313" w:rsidRDefault="00FA1313">
      <w:pPr>
        <w:spacing w:after="0" w:line="240" w:lineRule="auto"/>
      </w:pPr>
      <w:r>
        <w:separator/>
      </w:r>
    </w:p>
  </w:footnote>
  <w:footnote w:type="continuationSeparator" w:id="0">
    <w:p w14:paraId="144D8CBB" w14:textId="77777777" w:rsidR="00FA1313" w:rsidRDefault="00FA1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1670362"/>
      <w:docPartObj>
        <w:docPartGallery w:val="Page Numbers (Top of Page)"/>
        <w:docPartUnique/>
      </w:docPartObj>
    </w:sdtPr>
    <w:sdtEndPr>
      <w:rPr>
        <w:b/>
        <w:bCs/>
        <w:sz w:val="30"/>
        <w:szCs w:val="30"/>
      </w:rPr>
    </w:sdtEndPr>
    <w:sdtContent>
      <w:bookmarkStart w:id="7" w:name="_Hlk93306782" w:displacedByCustomXml="prev"/>
      <w:bookmarkStart w:id="8" w:name="_Hlk93306781" w:displacedByCustomXml="prev"/>
      <w:p w14:paraId="000679DD" w14:textId="16054250" w:rsidR="009470F0" w:rsidRDefault="000F2820" w:rsidP="000F2820">
        <w:pPr>
          <w:spacing w:after="0" w:line="480" w:lineRule="auto"/>
          <w:ind w:left="708" w:firstLine="708"/>
          <w:jc w:val="right"/>
          <w:rPr>
            <w:rFonts w:asciiTheme="minorHAnsi" w:hAnsiTheme="minorHAnsi" w:cstheme="minorHAnsi"/>
            <w:b/>
          </w:rPr>
        </w:pPr>
        <w:r w:rsidRPr="00DB296A">
          <w:rPr>
            <w:rFonts w:asciiTheme="minorHAnsi" w:hAnsiTheme="minorHAnsi" w:cstheme="minorHAnsi"/>
            <w:b/>
          </w:rPr>
          <w:t xml:space="preserve">ACTA NÚMERO: </w:t>
        </w:r>
        <w:r w:rsidR="001430F4">
          <w:rPr>
            <w:rFonts w:asciiTheme="minorHAnsi" w:hAnsiTheme="minorHAnsi" w:cstheme="minorHAnsi"/>
            <w:b/>
          </w:rPr>
          <w:t>2</w:t>
        </w:r>
        <w:r w:rsidR="00FF33FD">
          <w:rPr>
            <w:rFonts w:asciiTheme="minorHAnsi" w:hAnsiTheme="minorHAnsi" w:cstheme="minorHAnsi"/>
            <w:b/>
          </w:rPr>
          <w:t>8</w:t>
        </w:r>
        <w:r w:rsidRPr="00DB296A">
          <w:rPr>
            <w:rFonts w:asciiTheme="minorHAnsi" w:hAnsiTheme="minorHAnsi" w:cstheme="minorHAnsi"/>
            <w:b/>
          </w:rPr>
          <w:t>/202</w:t>
        </w:r>
        <w:r w:rsidRPr="00DB296A">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8"/>
        <w:bookmarkEnd w:id="7"/>
        <w:r w:rsidR="009644DC" w:rsidRPr="00DB296A">
          <w:rPr>
            <w:rFonts w:asciiTheme="minorHAnsi" w:hAnsiTheme="minorHAnsi" w:cstheme="minorHAnsi"/>
            <w:b/>
          </w:rPr>
          <w:t>4</w:t>
        </w:r>
      </w:p>
      <w:p w14:paraId="5AA678A8" w14:textId="1C857B50" w:rsidR="000F2820" w:rsidRPr="00FF33FD" w:rsidRDefault="009470F0" w:rsidP="000F2820">
        <w:pPr>
          <w:spacing w:after="0" w:line="480" w:lineRule="auto"/>
          <w:ind w:left="708" w:firstLine="708"/>
          <w:jc w:val="right"/>
          <w:rPr>
            <w:b/>
            <w:bCs/>
            <w:sz w:val="30"/>
            <w:szCs w:val="30"/>
          </w:rPr>
        </w:pPr>
        <w:r w:rsidRPr="00FF33FD">
          <w:rPr>
            <w:b/>
            <w:bCs/>
          </w:rPr>
          <w:t>EXTRAORDINARIA</w:t>
        </w:r>
      </w:p>
    </w:sdtContent>
  </w:sdt>
  <w:p w14:paraId="6D7FCCEE" w14:textId="58F8C4E5" w:rsidR="00D8559A" w:rsidRPr="00505E2C" w:rsidRDefault="00D8559A" w:rsidP="0026353E">
    <w:pPr>
      <w:spacing w:after="0" w:line="480" w:lineRule="auto"/>
      <w:ind w:left="708" w:firstLine="708"/>
      <w:jc w:val="right"/>
      <w:rPr>
        <w:rFonts w:asciiTheme="minorHAnsi" w:hAnsiTheme="minorHAnsi"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3514A"/>
    <w:multiLevelType w:val="hybridMultilevel"/>
    <w:tmpl w:val="22240082"/>
    <w:lvl w:ilvl="0" w:tplc="7EDE8880">
      <w:start w:val="1"/>
      <w:numFmt w:val="decimal"/>
      <w:lvlText w:val="%1."/>
      <w:lvlJc w:val="left"/>
      <w:pPr>
        <w:ind w:left="1331" w:hanging="360"/>
      </w:pPr>
      <w:rPr>
        <w:rFonts w:hint="default"/>
      </w:rPr>
    </w:lvl>
    <w:lvl w:ilvl="1" w:tplc="080A0019" w:tentative="1">
      <w:start w:val="1"/>
      <w:numFmt w:val="lowerLetter"/>
      <w:lvlText w:val="%2."/>
      <w:lvlJc w:val="left"/>
      <w:pPr>
        <w:ind w:left="2051" w:hanging="360"/>
      </w:pPr>
    </w:lvl>
    <w:lvl w:ilvl="2" w:tplc="080A001B" w:tentative="1">
      <w:start w:val="1"/>
      <w:numFmt w:val="lowerRoman"/>
      <w:lvlText w:val="%3."/>
      <w:lvlJc w:val="right"/>
      <w:pPr>
        <w:ind w:left="2771" w:hanging="180"/>
      </w:pPr>
    </w:lvl>
    <w:lvl w:ilvl="3" w:tplc="080A000F" w:tentative="1">
      <w:start w:val="1"/>
      <w:numFmt w:val="decimal"/>
      <w:lvlText w:val="%4."/>
      <w:lvlJc w:val="left"/>
      <w:pPr>
        <w:ind w:left="3491" w:hanging="360"/>
      </w:pPr>
    </w:lvl>
    <w:lvl w:ilvl="4" w:tplc="080A0019" w:tentative="1">
      <w:start w:val="1"/>
      <w:numFmt w:val="lowerLetter"/>
      <w:lvlText w:val="%5."/>
      <w:lvlJc w:val="left"/>
      <w:pPr>
        <w:ind w:left="4211" w:hanging="360"/>
      </w:pPr>
    </w:lvl>
    <w:lvl w:ilvl="5" w:tplc="080A001B" w:tentative="1">
      <w:start w:val="1"/>
      <w:numFmt w:val="lowerRoman"/>
      <w:lvlText w:val="%6."/>
      <w:lvlJc w:val="right"/>
      <w:pPr>
        <w:ind w:left="4931" w:hanging="180"/>
      </w:pPr>
    </w:lvl>
    <w:lvl w:ilvl="6" w:tplc="080A000F" w:tentative="1">
      <w:start w:val="1"/>
      <w:numFmt w:val="decimal"/>
      <w:lvlText w:val="%7."/>
      <w:lvlJc w:val="left"/>
      <w:pPr>
        <w:ind w:left="5651" w:hanging="360"/>
      </w:pPr>
    </w:lvl>
    <w:lvl w:ilvl="7" w:tplc="080A0019" w:tentative="1">
      <w:start w:val="1"/>
      <w:numFmt w:val="lowerLetter"/>
      <w:lvlText w:val="%8."/>
      <w:lvlJc w:val="left"/>
      <w:pPr>
        <w:ind w:left="6371" w:hanging="360"/>
      </w:pPr>
    </w:lvl>
    <w:lvl w:ilvl="8" w:tplc="080A001B" w:tentative="1">
      <w:start w:val="1"/>
      <w:numFmt w:val="lowerRoman"/>
      <w:lvlText w:val="%9."/>
      <w:lvlJc w:val="right"/>
      <w:pPr>
        <w:ind w:left="7091" w:hanging="180"/>
      </w:pPr>
    </w:lvl>
  </w:abstractNum>
  <w:abstractNum w:abstractNumId="1" w15:restartNumberingAfterBreak="0">
    <w:nsid w:val="08C04FB9"/>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E06990"/>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DA61F6"/>
    <w:multiLevelType w:val="hybridMultilevel"/>
    <w:tmpl w:val="C3E4B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AC4A36"/>
    <w:multiLevelType w:val="hybridMultilevel"/>
    <w:tmpl w:val="5EE262D4"/>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CC1DF7"/>
    <w:multiLevelType w:val="hybridMultilevel"/>
    <w:tmpl w:val="E05005BE"/>
    <w:lvl w:ilvl="0" w:tplc="8610A246">
      <w:start w:val="1"/>
      <w:numFmt w:val="decimal"/>
      <w:lvlText w:val="%1."/>
      <w:lvlJc w:val="left"/>
      <w:pPr>
        <w:ind w:left="720" w:hanging="360"/>
      </w:pPr>
      <w:rPr>
        <w:rFonts w:ascii="Calibri" w:hAnsi="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924EF2"/>
    <w:multiLevelType w:val="hybridMultilevel"/>
    <w:tmpl w:val="1C4CED06"/>
    <w:lvl w:ilvl="0" w:tplc="FFFFFFFF">
      <w:start w:val="1"/>
      <w:numFmt w:val="decimal"/>
      <w:lvlText w:val="%1."/>
      <w:lvlJc w:val="left"/>
      <w:pPr>
        <w:ind w:left="1080" w:hanging="360"/>
      </w:pPr>
      <w:rPr>
        <w:color w:val="000000" w:themeColor="text1"/>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12057AD4"/>
    <w:multiLevelType w:val="hybridMultilevel"/>
    <w:tmpl w:val="4E8E10FE"/>
    <w:lvl w:ilvl="0" w:tplc="58A638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511210"/>
    <w:multiLevelType w:val="hybridMultilevel"/>
    <w:tmpl w:val="33E2D482"/>
    <w:lvl w:ilvl="0" w:tplc="2A92A9AC">
      <w:start w:val="1"/>
      <w:numFmt w:val="upperRoman"/>
      <w:lvlText w:val="%1."/>
      <w:lvlJc w:val="left"/>
      <w:pPr>
        <w:ind w:left="1920" w:hanging="360"/>
      </w:pPr>
      <w:rPr>
        <w:rFonts w:ascii="Century Gothic" w:eastAsiaTheme="minorHAnsi" w:hAnsi="Century Gothic" w:cstheme="minorHAnsi"/>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6D814F7"/>
    <w:multiLevelType w:val="hybridMultilevel"/>
    <w:tmpl w:val="37EA9E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A34167"/>
    <w:multiLevelType w:val="hybridMultilevel"/>
    <w:tmpl w:val="884EA700"/>
    <w:lvl w:ilvl="0" w:tplc="48788BEA">
      <w:start w:val="1"/>
      <w:numFmt w:val="upperRoman"/>
      <w:lvlText w:val="%1."/>
      <w:lvlJc w:val="left"/>
      <w:pPr>
        <w:ind w:left="1080" w:hanging="720"/>
      </w:pPr>
      <w:rPr>
        <w:b w:val="0"/>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B4271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AC526C"/>
    <w:multiLevelType w:val="multilevel"/>
    <w:tmpl w:val="7DC6A00C"/>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Century Gothic" w:eastAsia="Times New Roman" w:hAnsi="Century Gothic" w:cs="Calibri"/>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22721A21"/>
    <w:multiLevelType w:val="hybridMultilevel"/>
    <w:tmpl w:val="884EA700"/>
    <w:lvl w:ilvl="0" w:tplc="FFFFFFFF">
      <w:start w:val="1"/>
      <w:numFmt w:val="upperRoman"/>
      <w:lvlText w:val="%1."/>
      <w:lvlJc w:val="left"/>
      <w:pPr>
        <w:ind w:left="1080" w:hanging="720"/>
      </w:pPr>
      <w:rPr>
        <w:b w:val="0"/>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455186C"/>
    <w:multiLevelType w:val="hybridMultilevel"/>
    <w:tmpl w:val="8C0ABCC2"/>
    <w:lvl w:ilvl="0" w:tplc="F5D0B7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D0708A"/>
    <w:multiLevelType w:val="hybridMultilevel"/>
    <w:tmpl w:val="120240AE"/>
    <w:lvl w:ilvl="0" w:tplc="FFFFFFFF">
      <w:start w:val="1"/>
      <w:numFmt w:val="upperRoman"/>
      <w:lvlText w:val="%1."/>
      <w:lvlJc w:val="righ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7C4C54"/>
    <w:multiLevelType w:val="hybridMultilevel"/>
    <w:tmpl w:val="6DC0EC7C"/>
    <w:lvl w:ilvl="0" w:tplc="080A000D">
      <w:start w:val="1"/>
      <w:numFmt w:val="bullet"/>
      <w:lvlText w:val=""/>
      <w:lvlJc w:val="left"/>
      <w:pPr>
        <w:ind w:left="1434" w:hanging="360"/>
      </w:pPr>
      <w:rPr>
        <w:rFonts w:ascii="Wingdings" w:hAnsi="Wingdings"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7" w15:restartNumberingAfterBreak="0">
    <w:nsid w:val="266B1D4E"/>
    <w:multiLevelType w:val="hybridMultilevel"/>
    <w:tmpl w:val="268C25DC"/>
    <w:lvl w:ilvl="0" w:tplc="7D4E8E8E">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4A501A"/>
    <w:multiLevelType w:val="hybridMultilevel"/>
    <w:tmpl w:val="2472838E"/>
    <w:lvl w:ilvl="0" w:tplc="66CACC92">
      <w:start w:val="1"/>
      <w:numFmt w:val="decimal"/>
      <w:lvlText w:val="%1."/>
      <w:lvlJc w:val="left"/>
      <w:pPr>
        <w:ind w:left="1428" w:hanging="360"/>
      </w:pPr>
      <w:rPr>
        <w:rFonts w:hint="default"/>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2D333D8F"/>
    <w:multiLevelType w:val="hybridMultilevel"/>
    <w:tmpl w:val="1ACAFE8C"/>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20C3D25"/>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81547F"/>
    <w:multiLevelType w:val="hybridMultilevel"/>
    <w:tmpl w:val="31DAF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3F67D3"/>
    <w:multiLevelType w:val="hybridMultilevel"/>
    <w:tmpl w:val="67D4BC7E"/>
    <w:lvl w:ilvl="0" w:tplc="339A1EA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15:restartNumberingAfterBreak="0">
    <w:nsid w:val="3F0D053D"/>
    <w:multiLevelType w:val="hybridMultilevel"/>
    <w:tmpl w:val="67D6E544"/>
    <w:lvl w:ilvl="0" w:tplc="AAD2C7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6E726B"/>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705512"/>
    <w:multiLevelType w:val="hybridMultilevel"/>
    <w:tmpl w:val="8E4200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7C035C"/>
    <w:multiLevelType w:val="hybridMultilevel"/>
    <w:tmpl w:val="9CD4EB9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7" w15:restartNumberingAfterBreak="0">
    <w:nsid w:val="448905C9"/>
    <w:multiLevelType w:val="hybridMultilevel"/>
    <w:tmpl w:val="3C701652"/>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8" w15:restartNumberingAfterBreak="0">
    <w:nsid w:val="44CE4D66"/>
    <w:multiLevelType w:val="hybridMultilevel"/>
    <w:tmpl w:val="B4384BEE"/>
    <w:lvl w:ilvl="0" w:tplc="778E1D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79C5C8F"/>
    <w:multiLevelType w:val="hybridMultilevel"/>
    <w:tmpl w:val="325A1FD0"/>
    <w:lvl w:ilvl="0" w:tplc="C9A8DF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B02E5E"/>
    <w:multiLevelType w:val="hybridMultilevel"/>
    <w:tmpl w:val="FF1C79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4D78359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FA54152"/>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33261AF"/>
    <w:multiLevelType w:val="hybridMultilevel"/>
    <w:tmpl w:val="831C42AC"/>
    <w:lvl w:ilvl="0" w:tplc="080A000D">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4" w15:restartNumberingAfterBreak="0">
    <w:nsid w:val="5380126E"/>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81A1C5F"/>
    <w:multiLevelType w:val="hybridMultilevel"/>
    <w:tmpl w:val="AF54CA94"/>
    <w:lvl w:ilvl="0" w:tplc="CC2097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7913E4"/>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C6731D4"/>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0527926"/>
    <w:multiLevelType w:val="hybridMultilevel"/>
    <w:tmpl w:val="DF660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49A3499"/>
    <w:multiLevelType w:val="hybridMultilevel"/>
    <w:tmpl w:val="4A0C16FC"/>
    <w:lvl w:ilvl="0" w:tplc="DB4A50FC">
      <w:start w:val="1"/>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40" w15:restartNumberingAfterBreak="0">
    <w:nsid w:val="66FD3D6F"/>
    <w:multiLevelType w:val="hybridMultilevel"/>
    <w:tmpl w:val="FF4A74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CB4797D"/>
    <w:multiLevelType w:val="hybridMultilevel"/>
    <w:tmpl w:val="884EA700"/>
    <w:lvl w:ilvl="0" w:tplc="48788BEA">
      <w:start w:val="1"/>
      <w:numFmt w:val="upperRoman"/>
      <w:lvlText w:val="%1."/>
      <w:lvlJc w:val="left"/>
      <w:pPr>
        <w:ind w:left="1080" w:hanging="720"/>
      </w:pPr>
      <w:rPr>
        <w:b w:val="0"/>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71157EDC"/>
    <w:multiLevelType w:val="hybridMultilevel"/>
    <w:tmpl w:val="0072581A"/>
    <w:lvl w:ilvl="0" w:tplc="E95280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1C7D06"/>
    <w:multiLevelType w:val="hybridMultilevel"/>
    <w:tmpl w:val="C22C9F9E"/>
    <w:lvl w:ilvl="0" w:tplc="E086317E">
      <w:start w:val="1"/>
      <w:numFmt w:val="decimal"/>
      <w:lvlText w:val="%1."/>
      <w:lvlJc w:val="left"/>
      <w:pPr>
        <w:ind w:left="720" w:hanging="36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23B02BE"/>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25C050A"/>
    <w:multiLevelType w:val="hybridMultilevel"/>
    <w:tmpl w:val="9CD4EB92"/>
    <w:lvl w:ilvl="0" w:tplc="DB9A5BD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6" w15:restartNumberingAfterBreak="0">
    <w:nsid w:val="78536120"/>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9C41753"/>
    <w:multiLevelType w:val="hybridMultilevel"/>
    <w:tmpl w:val="16FC4A32"/>
    <w:lvl w:ilvl="0" w:tplc="FFFFFFFF">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DE34FC2"/>
    <w:multiLevelType w:val="hybridMultilevel"/>
    <w:tmpl w:val="1C4CED06"/>
    <w:lvl w:ilvl="0" w:tplc="ECEEE7E0">
      <w:start w:val="1"/>
      <w:numFmt w:val="decimal"/>
      <w:lvlText w:val="%1."/>
      <w:lvlJc w:val="left"/>
      <w:pPr>
        <w:ind w:left="1080" w:hanging="360"/>
      </w:pPr>
      <w:rPr>
        <w:color w:val="000000" w:themeColor="text1"/>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9" w15:restartNumberingAfterBreak="0">
    <w:nsid w:val="7FC90FB7"/>
    <w:multiLevelType w:val="hybridMultilevel"/>
    <w:tmpl w:val="8CA2BB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01962849">
    <w:abstractNumId w:val="20"/>
  </w:num>
  <w:num w:numId="2" w16cid:durableId="14068817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5446925">
    <w:abstractNumId w:val="5"/>
  </w:num>
  <w:num w:numId="4" w16cid:durableId="877159044">
    <w:abstractNumId w:val="0"/>
  </w:num>
  <w:num w:numId="5" w16cid:durableId="1173492396">
    <w:abstractNumId w:val="7"/>
  </w:num>
  <w:num w:numId="6" w16cid:durableId="746339445">
    <w:abstractNumId w:val="35"/>
  </w:num>
  <w:num w:numId="7" w16cid:durableId="1347712127">
    <w:abstractNumId w:val="23"/>
  </w:num>
  <w:num w:numId="8" w16cid:durableId="560948000">
    <w:abstractNumId w:val="34"/>
  </w:num>
  <w:num w:numId="9" w16cid:durableId="835725410">
    <w:abstractNumId w:val="36"/>
  </w:num>
  <w:num w:numId="10" w16cid:durableId="280647067">
    <w:abstractNumId w:val="32"/>
  </w:num>
  <w:num w:numId="11" w16cid:durableId="749886170">
    <w:abstractNumId w:val="14"/>
  </w:num>
  <w:num w:numId="12" w16cid:durableId="887643611">
    <w:abstractNumId w:val="1"/>
  </w:num>
  <w:num w:numId="13" w16cid:durableId="381364082">
    <w:abstractNumId w:val="11"/>
  </w:num>
  <w:num w:numId="14" w16cid:durableId="832451671">
    <w:abstractNumId w:val="37"/>
  </w:num>
  <w:num w:numId="15" w16cid:durableId="828206887">
    <w:abstractNumId w:val="24"/>
  </w:num>
  <w:num w:numId="16" w16cid:durableId="318508194">
    <w:abstractNumId w:val="22"/>
  </w:num>
  <w:num w:numId="17" w16cid:durableId="1772427827">
    <w:abstractNumId w:val="31"/>
  </w:num>
  <w:num w:numId="18" w16cid:durableId="425543072">
    <w:abstractNumId w:val="45"/>
  </w:num>
  <w:num w:numId="19" w16cid:durableId="1327510493">
    <w:abstractNumId w:val="26"/>
  </w:num>
  <w:num w:numId="20" w16cid:durableId="2132505037">
    <w:abstractNumId w:val="42"/>
  </w:num>
  <w:num w:numId="21" w16cid:durableId="721518182">
    <w:abstractNumId w:val="46"/>
  </w:num>
  <w:num w:numId="22" w16cid:durableId="983778626">
    <w:abstractNumId w:val="18"/>
  </w:num>
  <w:num w:numId="23" w16cid:durableId="2071339468">
    <w:abstractNumId w:val="4"/>
  </w:num>
  <w:num w:numId="24" w16cid:durableId="2116556620">
    <w:abstractNumId w:val="39"/>
  </w:num>
  <w:num w:numId="25" w16cid:durableId="1965888617">
    <w:abstractNumId w:val="2"/>
  </w:num>
  <w:num w:numId="26" w16cid:durableId="2106919154">
    <w:abstractNumId w:val="29"/>
  </w:num>
  <w:num w:numId="27" w16cid:durableId="996958121">
    <w:abstractNumId w:val="44"/>
  </w:num>
  <w:num w:numId="28" w16cid:durableId="386728937">
    <w:abstractNumId w:val="9"/>
  </w:num>
  <w:num w:numId="29" w16cid:durableId="1149519419">
    <w:abstractNumId w:val="28"/>
  </w:num>
  <w:num w:numId="30" w16cid:durableId="37169942">
    <w:abstractNumId w:val="25"/>
  </w:num>
  <w:num w:numId="31" w16cid:durableId="1025793564">
    <w:abstractNumId w:val="3"/>
  </w:num>
  <w:num w:numId="32" w16cid:durableId="1400058495">
    <w:abstractNumId w:val="21"/>
  </w:num>
  <w:num w:numId="33" w16cid:durableId="4662431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1418953">
    <w:abstractNumId w:val="6"/>
  </w:num>
  <w:num w:numId="35" w16cid:durableId="1413233000">
    <w:abstractNumId w:val="8"/>
  </w:num>
  <w:num w:numId="36" w16cid:durableId="322197374">
    <w:abstractNumId w:val="47"/>
  </w:num>
  <w:num w:numId="37" w16cid:durableId="1973748413">
    <w:abstractNumId w:val="12"/>
  </w:num>
  <w:num w:numId="38" w16cid:durableId="514542980">
    <w:abstractNumId w:val="16"/>
  </w:num>
  <w:num w:numId="39" w16cid:durableId="69086766">
    <w:abstractNumId w:val="38"/>
  </w:num>
  <w:num w:numId="40" w16cid:durableId="416445816">
    <w:abstractNumId w:val="17"/>
  </w:num>
  <w:num w:numId="41" w16cid:durableId="1500660538">
    <w:abstractNumId w:val="19"/>
  </w:num>
  <w:num w:numId="42" w16cid:durableId="411388263">
    <w:abstractNumId w:val="41"/>
  </w:num>
  <w:num w:numId="43" w16cid:durableId="1086001313">
    <w:abstractNumId w:val="13"/>
  </w:num>
  <w:num w:numId="44" w16cid:durableId="498732342">
    <w:abstractNumId w:val="27"/>
  </w:num>
  <w:num w:numId="45" w16cid:durableId="2123260712">
    <w:abstractNumId w:val="43"/>
  </w:num>
  <w:num w:numId="46" w16cid:durableId="1202595845">
    <w:abstractNumId w:val="49"/>
  </w:num>
  <w:num w:numId="47" w16cid:durableId="876162475">
    <w:abstractNumId w:val="30"/>
  </w:num>
  <w:num w:numId="48" w16cid:durableId="1436249394">
    <w:abstractNumId w:val="40"/>
  </w:num>
  <w:num w:numId="49" w16cid:durableId="1459298468">
    <w:abstractNumId w:val="33"/>
  </w:num>
  <w:num w:numId="50" w16cid:durableId="207284776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7B76"/>
    <w:rsid w:val="0001267F"/>
    <w:rsid w:val="00012711"/>
    <w:rsid w:val="000134A5"/>
    <w:rsid w:val="0001379C"/>
    <w:rsid w:val="00014360"/>
    <w:rsid w:val="000152A5"/>
    <w:rsid w:val="000172BC"/>
    <w:rsid w:val="00020DB6"/>
    <w:rsid w:val="000225C4"/>
    <w:rsid w:val="00022834"/>
    <w:rsid w:val="000239D3"/>
    <w:rsid w:val="00024BD0"/>
    <w:rsid w:val="00024DA3"/>
    <w:rsid w:val="0002501C"/>
    <w:rsid w:val="0002618A"/>
    <w:rsid w:val="0002659B"/>
    <w:rsid w:val="00026ADF"/>
    <w:rsid w:val="00026E5E"/>
    <w:rsid w:val="00030483"/>
    <w:rsid w:val="00032083"/>
    <w:rsid w:val="000321A8"/>
    <w:rsid w:val="000327B6"/>
    <w:rsid w:val="00040682"/>
    <w:rsid w:val="000406AD"/>
    <w:rsid w:val="0004193C"/>
    <w:rsid w:val="00042184"/>
    <w:rsid w:val="0004314C"/>
    <w:rsid w:val="000465B1"/>
    <w:rsid w:val="00050311"/>
    <w:rsid w:val="000529D5"/>
    <w:rsid w:val="00053158"/>
    <w:rsid w:val="00054921"/>
    <w:rsid w:val="00054A44"/>
    <w:rsid w:val="0005626A"/>
    <w:rsid w:val="00057BE4"/>
    <w:rsid w:val="000609DF"/>
    <w:rsid w:val="000615F4"/>
    <w:rsid w:val="000634E0"/>
    <w:rsid w:val="00063737"/>
    <w:rsid w:val="00067F03"/>
    <w:rsid w:val="00070E4F"/>
    <w:rsid w:val="00070F93"/>
    <w:rsid w:val="000715C4"/>
    <w:rsid w:val="0007215E"/>
    <w:rsid w:val="00073F0F"/>
    <w:rsid w:val="00074D89"/>
    <w:rsid w:val="00076777"/>
    <w:rsid w:val="00084544"/>
    <w:rsid w:val="00084CB8"/>
    <w:rsid w:val="00085486"/>
    <w:rsid w:val="000865BA"/>
    <w:rsid w:val="00086E40"/>
    <w:rsid w:val="00090005"/>
    <w:rsid w:val="000900AB"/>
    <w:rsid w:val="00090916"/>
    <w:rsid w:val="00092485"/>
    <w:rsid w:val="00092590"/>
    <w:rsid w:val="000934DD"/>
    <w:rsid w:val="00094260"/>
    <w:rsid w:val="000956EC"/>
    <w:rsid w:val="000956ED"/>
    <w:rsid w:val="00096CD4"/>
    <w:rsid w:val="000A20CA"/>
    <w:rsid w:val="000A6149"/>
    <w:rsid w:val="000A6EC2"/>
    <w:rsid w:val="000A7DA7"/>
    <w:rsid w:val="000B1B1D"/>
    <w:rsid w:val="000B28FF"/>
    <w:rsid w:val="000B4505"/>
    <w:rsid w:val="000B6739"/>
    <w:rsid w:val="000B7410"/>
    <w:rsid w:val="000B76B3"/>
    <w:rsid w:val="000C0869"/>
    <w:rsid w:val="000C1E39"/>
    <w:rsid w:val="000C288A"/>
    <w:rsid w:val="000C5FB7"/>
    <w:rsid w:val="000C6BF5"/>
    <w:rsid w:val="000C79E9"/>
    <w:rsid w:val="000D4323"/>
    <w:rsid w:val="000D685B"/>
    <w:rsid w:val="000E0118"/>
    <w:rsid w:val="000E367D"/>
    <w:rsid w:val="000E3924"/>
    <w:rsid w:val="000E69B4"/>
    <w:rsid w:val="000E6A64"/>
    <w:rsid w:val="000E7908"/>
    <w:rsid w:val="000F0BBF"/>
    <w:rsid w:val="000F153F"/>
    <w:rsid w:val="000F253B"/>
    <w:rsid w:val="000F2820"/>
    <w:rsid w:val="000F2F75"/>
    <w:rsid w:val="000F38E6"/>
    <w:rsid w:val="00100F16"/>
    <w:rsid w:val="00102B8A"/>
    <w:rsid w:val="00103912"/>
    <w:rsid w:val="00104857"/>
    <w:rsid w:val="00105103"/>
    <w:rsid w:val="001073E1"/>
    <w:rsid w:val="001078AF"/>
    <w:rsid w:val="00110AF9"/>
    <w:rsid w:val="00110CB6"/>
    <w:rsid w:val="001131D7"/>
    <w:rsid w:val="00115DCA"/>
    <w:rsid w:val="00123294"/>
    <w:rsid w:val="00124497"/>
    <w:rsid w:val="00125A68"/>
    <w:rsid w:val="00126B3B"/>
    <w:rsid w:val="00126F68"/>
    <w:rsid w:val="001275B8"/>
    <w:rsid w:val="001279CF"/>
    <w:rsid w:val="00130B32"/>
    <w:rsid w:val="00130DBC"/>
    <w:rsid w:val="001326E3"/>
    <w:rsid w:val="00134411"/>
    <w:rsid w:val="001361E8"/>
    <w:rsid w:val="00136D81"/>
    <w:rsid w:val="0014158F"/>
    <w:rsid w:val="00141A5A"/>
    <w:rsid w:val="001430F4"/>
    <w:rsid w:val="00143175"/>
    <w:rsid w:val="0014359C"/>
    <w:rsid w:val="00144DA7"/>
    <w:rsid w:val="0014694C"/>
    <w:rsid w:val="00146AD2"/>
    <w:rsid w:val="001527C8"/>
    <w:rsid w:val="00153006"/>
    <w:rsid w:val="00153C53"/>
    <w:rsid w:val="001542FD"/>
    <w:rsid w:val="00161187"/>
    <w:rsid w:val="001622CC"/>
    <w:rsid w:val="00162309"/>
    <w:rsid w:val="001629B9"/>
    <w:rsid w:val="00162FF6"/>
    <w:rsid w:val="00166EBD"/>
    <w:rsid w:val="001674E6"/>
    <w:rsid w:val="00170569"/>
    <w:rsid w:val="001706A1"/>
    <w:rsid w:val="00170F58"/>
    <w:rsid w:val="00171065"/>
    <w:rsid w:val="00172388"/>
    <w:rsid w:val="001731A4"/>
    <w:rsid w:val="00174A94"/>
    <w:rsid w:val="00176817"/>
    <w:rsid w:val="001823B0"/>
    <w:rsid w:val="00182437"/>
    <w:rsid w:val="00182AA8"/>
    <w:rsid w:val="00182D5F"/>
    <w:rsid w:val="00183A08"/>
    <w:rsid w:val="001855D0"/>
    <w:rsid w:val="001860A6"/>
    <w:rsid w:val="00187978"/>
    <w:rsid w:val="00187DBE"/>
    <w:rsid w:val="0019120D"/>
    <w:rsid w:val="00192C73"/>
    <w:rsid w:val="00193EDC"/>
    <w:rsid w:val="0019551D"/>
    <w:rsid w:val="00197C91"/>
    <w:rsid w:val="001A1080"/>
    <w:rsid w:val="001A1406"/>
    <w:rsid w:val="001A26BF"/>
    <w:rsid w:val="001A31C9"/>
    <w:rsid w:val="001A42A0"/>
    <w:rsid w:val="001A50C2"/>
    <w:rsid w:val="001A56EF"/>
    <w:rsid w:val="001A5E8C"/>
    <w:rsid w:val="001A7253"/>
    <w:rsid w:val="001A76A3"/>
    <w:rsid w:val="001A7FF4"/>
    <w:rsid w:val="001B2E14"/>
    <w:rsid w:val="001B5501"/>
    <w:rsid w:val="001B562D"/>
    <w:rsid w:val="001C0D1C"/>
    <w:rsid w:val="001C1490"/>
    <w:rsid w:val="001C1AAC"/>
    <w:rsid w:val="001C1AC1"/>
    <w:rsid w:val="001C1D61"/>
    <w:rsid w:val="001C3647"/>
    <w:rsid w:val="001C4614"/>
    <w:rsid w:val="001C4B57"/>
    <w:rsid w:val="001C5910"/>
    <w:rsid w:val="001C6842"/>
    <w:rsid w:val="001C7508"/>
    <w:rsid w:val="001C7775"/>
    <w:rsid w:val="001D0456"/>
    <w:rsid w:val="001D2605"/>
    <w:rsid w:val="001D4755"/>
    <w:rsid w:val="001D5B65"/>
    <w:rsid w:val="001D6A09"/>
    <w:rsid w:val="001D728C"/>
    <w:rsid w:val="001E042B"/>
    <w:rsid w:val="001E0683"/>
    <w:rsid w:val="001E2B57"/>
    <w:rsid w:val="001E2CC4"/>
    <w:rsid w:val="001E3CB1"/>
    <w:rsid w:val="001E40AF"/>
    <w:rsid w:val="001E4323"/>
    <w:rsid w:val="001E4EE6"/>
    <w:rsid w:val="001E6B4E"/>
    <w:rsid w:val="001E74C7"/>
    <w:rsid w:val="001E775A"/>
    <w:rsid w:val="001E7E50"/>
    <w:rsid w:val="001F2425"/>
    <w:rsid w:val="001F5435"/>
    <w:rsid w:val="001F67DA"/>
    <w:rsid w:val="001F74A4"/>
    <w:rsid w:val="001F7DB9"/>
    <w:rsid w:val="00200478"/>
    <w:rsid w:val="00200CFF"/>
    <w:rsid w:val="002014F3"/>
    <w:rsid w:val="00202769"/>
    <w:rsid w:val="00202B44"/>
    <w:rsid w:val="002048ED"/>
    <w:rsid w:val="002052AD"/>
    <w:rsid w:val="002059C0"/>
    <w:rsid w:val="00205BB9"/>
    <w:rsid w:val="00206897"/>
    <w:rsid w:val="00206E3F"/>
    <w:rsid w:val="00207A26"/>
    <w:rsid w:val="00210F50"/>
    <w:rsid w:val="00214BF1"/>
    <w:rsid w:val="002160AC"/>
    <w:rsid w:val="00216DE9"/>
    <w:rsid w:val="00216F59"/>
    <w:rsid w:val="00217074"/>
    <w:rsid w:val="00217841"/>
    <w:rsid w:val="00220783"/>
    <w:rsid w:val="00221403"/>
    <w:rsid w:val="002215B6"/>
    <w:rsid w:val="002223BF"/>
    <w:rsid w:val="00225F9A"/>
    <w:rsid w:val="002269F6"/>
    <w:rsid w:val="00227C62"/>
    <w:rsid w:val="002307B3"/>
    <w:rsid w:val="00231EF7"/>
    <w:rsid w:val="00232C95"/>
    <w:rsid w:val="00233771"/>
    <w:rsid w:val="00233C1C"/>
    <w:rsid w:val="00240DBC"/>
    <w:rsid w:val="002416AF"/>
    <w:rsid w:val="00241BE5"/>
    <w:rsid w:val="00242C71"/>
    <w:rsid w:val="00242DCB"/>
    <w:rsid w:val="00246EF5"/>
    <w:rsid w:val="0024735B"/>
    <w:rsid w:val="00247B45"/>
    <w:rsid w:val="00250088"/>
    <w:rsid w:val="00250DC6"/>
    <w:rsid w:val="00251FEC"/>
    <w:rsid w:val="00252588"/>
    <w:rsid w:val="00253367"/>
    <w:rsid w:val="00253FA9"/>
    <w:rsid w:val="0025582B"/>
    <w:rsid w:val="00257619"/>
    <w:rsid w:val="00261027"/>
    <w:rsid w:val="00261293"/>
    <w:rsid w:val="002613E6"/>
    <w:rsid w:val="00262A97"/>
    <w:rsid w:val="00262E8D"/>
    <w:rsid w:val="0026353E"/>
    <w:rsid w:val="00264F3B"/>
    <w:rsid w:val="00265A0C"/>
    <w:rsid w:val="00265D02"/>
    <w:rsid w:val="0026650B"/>
    <w:rsid w:val="00267BD6"/>
    <w:rsid w:val="00272B29"/>
    <w:rsid w:val="00280A0D"/>
    <w:rsid w:val="00280D38"/>
    <w:rsid w:val="00283BB9"/>
    <w:rsid w:val="0028661B"/>
    <w:rsid w:val="00286DBF"/>
    <w:rsid w:val="00287876"/>
    <w:rsid w:val="002902F7"/>
    <w:rsid w:val="00290C10"/>
    <w:rsid w:val="002929A0"/>
    <w:rsid w:val="00292B59"/>
    <w:rsid w:val="00294FD2"/>
    <w:rsid w:val="00297626"/>
    <w:rsid w:val="002A2D19"/>
    <w:rsid w:val="002A33A0"/>
    <w:rsid w:val="002A3D96"/>
    <w:rsid w:val="002A444A"/>
    <w:rsid w:val="002A453E"/>
    <w:rsid w:val="002A5F3D"/>
    <w:rsid w:val="002A6FCC"/>
    <w:rsid w:val="002A76D9"/>
    <w:rsid w:val="002B17AF"/>
    <w:rsid w:val="002B2B3C"/>
    <w:rsid w:val="002B2B7E"/>
    <w:rsid w:val="002B71FF"/>
    <w:rsid w:val="002B746C"/>
    <w:rsid w:val="002C065E"/>
    <w:rsid w:val="002C0805"/>
    <w:rsid w:val="002C1E16"/>
    <w:rsid w:val="002C2B96"/>
    <w:rsid w:val="002C3984"/>
    <w:rsid w:val="002C3990"/>
    <w:rsid w:val="002C3F45"/>
    <w:rsid w:val="002C6634"/>
    <w:rsid w:val="002C747F"/>
    <w:rsid w:val="002C7E3D"/>
    <w:rsid w:val="002D25C4"/>
    <w:rsid w:val="002D279B"/>
    <w:rsid w:val="002D2CC2"/>
    <w:rsid w:val="002D4427"/>
    <w:rsid w:val="002D63CD"/>
    <w:rsid w:val="002D6476"/>
    <w:rsid w:val="002D7215"/>
    <w:rsid w:val="002E0E38"/>
    <w:rsid w:val="002E2039"/>
    <w:rsid w:val="002E24FE"/>
    <w:rsid w:val="002E5274"/>
    <w:rsid w:val="002E546A"/>
    <w:rsid w:val="002E5470"/>
    <w:rsid w:val="002E5695"/>
    <w:rsid w:val="002E6BFE"/>
    <w:rsid w:val="002F01A4"/>
    <w:rsid w:val="002F0319"/>
    <w:rsid w:val="002F09EB"/>
    <w:rsid w:val="002F5C21"/>
    <w:rsid w:val="002F66DA"/>
    <w:rsid w:val="002F6A36"/>
    <w:rsid w:val="002F7C56"/>
    <w:rsid w:val="003004E7"/>
    <w:rsid w:val="00301432"/>
    <w:rsid w:val="00302BD7"/>
    <w:rsid w:val="00303075"/>
    <w:rsid w:val="0030348B"/>
    <w:rsid w:val="00305ECF"/>
    <w:rsid w:val="00310283"/>
    <w:rsid w:val="00311D75"/>
    <w:rsid w:val="003125F5"/>
    <w:rsid w:val="00314189"/>
    <w:rsid w:val="003155BF"/>
    <w:rsid w:val="00316A83"/>
    <w:rsid w:val="00320D3A"/>
    <w:rsid w:val="0032111C"/>
    <w:rsid w:val="0032224C"/>
    <w:rsid w:val="00323982"/>
    <w:rsid w:val="003248E9"/>
    <w:rsid w:val="00324D55"/>
    <w:rsid w:val="003259ED"/>
    <w:rsid w:val="00325BCC"/>
    <w:rsid w:val="00325D9B"/>
    <w:rsid w:val="00327375"/>
    <w:rsid w:val="00332E1E"/>
    <w:rsid w:val="00336915"/>
    <w:rsid w:val="00337624"/>
    <w:rsid w:val="00340927"/>
    <w:rsid w:val="00341614"/>
    <w:rsid w:val="003426A0"/>
    <w:rsid w:val="003426B8"/>
    <w:rsid w:val="003430A7"/>
    <w:rsid w:val="003434C7"/>
    <w:rsid w:val="0034429C"/>
    <w:rsid w:val="00344851"/>
    <w:rsid w:val="00345678"/>
    <w:rsid w:val="0034618F"/>
    <w:rsid w:val="00346921"/>
    <w:rsid w:val="003512F2"/>
    <w:rsid w:val="0035291E"/>
    <w:rsid w:val="003548C2"/>
    <w:rsid w:val="0035572D"/>
    <w:rsid w:val="0036280F"/>
    <w:rsid w:val="003651DC"/>
    <w:rsid w:val="00365AF5"/>
    <w:rsid w:val="00370E2A"/>
    <w:rsid w:val="00371FDC"/>
    <w:rsid w:val="00375ADA"/>
    <w:rsid w:val="003767D9"/>
    <w:rsid w:val="003828BB"/>
    <w:rsid w:val="003836B9"/>
    <w:rsid w:val="00383757"/>
    <w:rsid w:val="00385B85"/>
    <w:rsid w:val="00391196"/>
    <w:rsid w:val="00391E29"/>
    <w:rsid w:val="00392616"/>
    <w:rsid w:val="00392C03"/>
    <w:rsid w:val="00396235"/>
    <w:rsid w:val="00396380"/>
    <w:rsid w:val="003973FA"/>
    <w:rsid w:val="003A0322"/>
    <w:rsid w:val="003A15BA"/>
    <w:rsid w:val="003A27EC"/>
    <w:rsid w:val="003A3CDA"/>
    <w:rsid w:val="003A4AB9"/>
    <w:rsid w:val="003A5650"/>
    <w:rsid w:val="003A5EA7"/>
    <w:rsid w:val="003A5F2E"/>
    <w:rsid w:val="003A6C19"/>
    <w:rsid w:val="003A7D39"/>
    <w:rsid w:val="003A7EEA"/>
    <w:rsid w:val="003B06A3"/>
    <w:rsid w:val="003B311E"/>
    <w:rsid w:val="003B4A10"/>
    <w:rsid w:val="003B5D8C"/>
    <w:rsid w:val="003B6154"/>
    <w:rsid w:val="003C1B21"/>
    <w:rsid w:val="003C22B8"/>
    <w:rsid w:val="003C2330"/>
    <w:rsid w:val="003C2D95"/>
    <w:rsid w:val="003C3CC3"/>
    <w:rsid w:val="003C75A4"/>
    <w:rsid w:val="003D134A"/>
    <w:rsid w:val="003D1973"/>
    <w:rsid w:val="003D25F0"/>
    <w:rsid w:val="003D2D0B"/>
    <w:rsid w:val="003D377C"/>
    <w:rsid w:val="003D4CD1"/>
    <w:rsid w:val="003D75D2"/>
    <w:rsid w:val="003E0288"/>
    <w:rsid w:val="003E0B73"/>
    <w:rsid w:val="003E1713"/>
    <w:rsid w:val="003E19A1"/>
    <w:rsid w:val="003E3305"/>
    <w:rsid w:val="003E339E"/>
    <w:rsid w:val="003E33C5"/>
    <w:rsid w:val="003E374C"/>
    <w:rsid w:val="003E3DE2"/>
    <w:rsid w:val="003E4F61"/>
    <w:rsid w:val="003E5DBF"/>
    <w:rsid w:val="003E6260"/>
    <w:rsid w:val="003F2574"/>
    <w:rsid w:val="003F2BEC"/>
    <w:rsid w:val="003F5DE6"/>
    <w:rsid w:val="003F69D7"/>
    <w:rsid w:val="004011E4"/>
    <w:rsid w:val="0040145C"/>
    <w:rsid w:val="004025A7"/>
    <w:rsid w:val="00403093"/>
    <w:rsid w:val="00405263"/>
    <w:rsid w:val="00405577"/>
    <w:rsid w:val="0040567B"/>
    <w:rsid w:val="00412CDA"/>
    <w:rsid w:val="00413F17"/>
    <w:rsid w:val="00416C66"/>
    <w:rsid w:val="00420611"/>
    <w:rsid w:val="00422459"/>
    <w:rsid w:val="0042257B"/>
    <w:rsid w:val="00423526"/>
    <w:rsid w:val="00425832"/>
    <w:rsid w:val="004301E8"/>
    <w:rsid w:val="00430347"/>
    <w:rsid w:val="00432F43"/>
    <w:rsid w:val="00433CF1"/>
    <w:rsid w:val="004372C3"/>
    <w:rsid w:val="004379D8"/>
    <w:rsid w:val="004407D3"/>
    <w:rsid w:val="004412AC"/>
    <w:rsid w:val="00442F9C"/>
    <w:rsid w:val="0044310C"/>
    <w:rsid w:val="004448CF"/>
    <w:rsid w:val="00445671"/>
    <w:rsid w:val="00447BD5"/>
    <w:rsid w:val="00450501"/>
    <w:rsid w:val="0045061A"/>
    <w:rsid w:val="004531E1"/>
    <w:rsid w:val="00455349"/>
    <w:rsid w:val="004555F5"/>
    <w:rsid w:val="004558C8"/>
    <w:rsid w:val="0045626E"/>
    <w:rsid w:val="00456B50"/>
    <w:rsid w:val="004570D1"/>
    <w:rsid w:val="00457A80"/>
    <w:rsid w:val="00460478"/>
    <w:rsid w:val="00461169"/>
    <w:rsid w:val="004615D3"/>
    <w:rsid w:val="00464454"/>
    <w:rsid w:val="00465DDE"/>
    <w:rsid w:val="00470771"/>
    <w:rsid w:val="00471962"/>
    <w:rsid w:val="00474845"/>
    <w:rsid w:val="00476D44"/>
    <w:rsid w:val="0047797E"/>
    <w:rsid w:val="004806B2"/>
    <w:rsid w:val="004809FB"/>
    <w:rsid w:val="004814FE"/>
    <w:rsid w:val="00482A1A"/>
    <w:rsid w:val="00482A98"/>
    <w:rsid w:val="00483D4B"/>
    <w:rsid w:val="00483FD6"/>
    <w:rsid w:val="0048470E"/>
    <w:rsid w:val="00486684"/>
    <w:rsid w:val="00486994"/>
    <w:rsid w:val="00492A09"/>
    <w:rsid w:val="00493ADA"/>
    <w:rsid w:val="00495035"/>
    <w:rsid w:val="004951C6"/>
    <w:rsid w:val="004A33DA"/>
    <w:rsid w:val="004A5020"/>
    <w:rsid w:val="004A7E77"/>
    <w:rsid w:val="004B58B4"/>
    <w:rsid w:val="004B64FE"/>
    <w:rsid w:val="004B6FDE"/>
    <w:rsid w:val="004C1A0E"/>
    <w:rsid w:val="004C1A20"/>
    <w:rsid w:val="004C5F05"/>
    <w:rsid w:val="004C694E"/>
    <w:rsid w:val="004C74D0"/>
    <w:rsid w:val="004C7501"/>
    <w:rsid w:val="004D0AD6"/>
    <w:rsid w:val="004D0F01"/>
    <w:rsid w:val="004D1CB1"/>
    <w:rsid w:val="004D1F77"/>
    <w:rsid w:val="004D27E2"/>
    <w:rsid w:val="004D423E"/>
    <w:rsid w:val="004D4951"/>
    <w:rsid w:val="004D4DB7"/>
    <w:rsid w:val="004D6548"/>
    <w:rsid w:val="004E1E02"/>
    <w:rsid w:val="004E375D"/>
    <w:rsid w:val="004E398C"/>
    <w:rsid w:val="004E594A"/>
    <w:rsid w:val="004E5AD0"/>
    <w:rsid w:val="004F0901"/>
    <w:rsid w:val="004F4780"/>
    <w:rsid w:val="004F51C4"/>
    <w:rsid w:val="004F5929"/>
    <w:rsid w:val="004F5C35"/>
    <w:rsid w:val="00500533"/>
    <w:rsid w:val="00500603"/>
    <w:rsid w:val="00501C76"/>
    <w:rsid w:val="00501CB9"/>
    <w:rsid w:val="005035C6"/>
    <w:rsid w:val="00504F67"/>
    <w:rsid w:val="00505548"/>
    <w:rsid w:val="00507958"/>
    <w:rsid w:val="005106DC"/>
    <w:rsid w:val="0051134C"/>
    <w:rsid w:val="00512A69"/>
    <w:rsid w:val="0051771A"/>
    <w:rsid w:val="00517B52"/>
    <w:rsid w:val="00520893"/>
    <w:rsid w:val="00522B6B"/>
    <w:rsid w:val="00523FDF"/>
    <w:rsid w:val="00526BD3"/>
    <w:rsid w:val="0052733E"/>
    <w:rsid w:val="00527B8F"/>
    <w:rsid w:val="00530528"/>
    <w:rsid w:val="00531FB1"/>
    <w:rsid w:val="00532827"/>
    <w:rsid w:val="0053327E"/>
    <w:rsid w:val="0053470A"/>
    <w:rsid w:val="005349DD"/>
    <w:rsid w:val="0053506D"/>
    <w:rsid w:val="00537214"/>
    <w:rsid w:val="00537413"/>
    <w:rsid w:val="005378C2"/>
    <w:rsid w:val="00537988"/>
    <w:rsid w:val="005414CC"/>
    <w:rsid w:val="00542607"/>
    <w:rsid w:val="005431B7"/>
    <w:rsid w:val="00543A32"/>
    <w:rsid w:val="00552B5F"/>
    <w:rsid w:val="00552E94"/>
    <w:rsid w:val="005535D0"/>
    <w:rsid w:val="0056162B"/>
    <w:rsid w:val="005622B2"/>
    <w:rsid w:val="0056650B"/>
    <w:rsid w:val="00571086"/>
    <w:rsid w:val="00574AED"/>
    <w:rsid w:val="00575724"/>
    <w:rsid w:val="00576A1B"/>
    <w:rsid w:val="00577324"/>
    <w:rsid w:val="005804B1"/>
    <w:rsid w:val="00581CC9"/>
    <w:rsid w:val="00592014"/>
    <w:rsid w:val="005939BB"/>
    <w:rsid w:val="00593C2E"/>
    <w:rsid w:val="0059440C"/>
    <w:rsid w:val="005954EB"/>
    <w:rsid w:val="00595672"/>
    <w:rsid w:val="00597042"/>
    <w:rsid w:val="00597543"/>
    <w:rsid w:val="005A04C4"/>
    <w:rsid w:val="005A1448"/>
    <w:rsid w:val="005A259B"/>
    <w:rsid w:val="005A3A72"/>
    <w:rsid w:val="005A6A44"/>
    <w:rsid w:val="005A6CE0"/>
    <w:rsid w:val="005B1638"/>
    <w:rsid w:val="005B2781"/>
    <w:rsid w:val="005B3341"/>
    <w:rsid w:val="005B3FA7"/>
    <w:rsid w:val="005B48C7"/>
    <w:rsid w:val="005B77D4"/>
    <w:rsid w:val="005B7CF1"/>
    <w:rsid w:val="005B7EC9"/>
    <w:rsid w:val="005C1E2E"/>
    <w:rsid w:val="005C26B1"/>
    <w:rsid w:val="005C3201"/>
    <w:rsid w:val="005C4D08"/>
    <w:rsid w:val="005D0008"/>
    <w:rsid w:val="005D00BC"/>
    <w:rsid w:val="005D05AF"/>
    <w:rsid w:val="005D0FD2"/>
    <w:rsid w:val="005D12DD"/>
    <w:rsid w:val="005D1E10"/>
    <w:rsid w:val="005D3BDC"/>
    <w:rsid w:val="005D6216"/>
    <w:rsid w:val="005E27C3"/>
    <w:rsid w:val="005E373C"/>
    <w:rsid w:val="005E3C0F"/>
    <w:rsid w:val="005E53EF"/>
    <w:rsid w:val="005E5B7F"/>
    <w:rsid w:val="005E768C"/>
    <w:rsid w:val="005F185D"/>
    <w:rsid w:val="005F533D"/>
    <w:rsid w:val="005F53CC"/>
    <w:rsid w:val="005F71C1"/>
    <w:rsid w:val="00602857"/>
    <w:rsid w:val="00603F67"/>
    <w:rsid w:val="00604CC6"/>
    <w:rsid w:val="00607721"/>
    <w:rsid w:val="00607D0D"/>
    <w:rsid w:val="00613863"/>
    <w:rsid w:val="00613DE5"/>
    <w:rsid w:val="00614A2A"/>
    <w:rsid w:val="006150A4"/>
    <w:rsid w:val="00616839"/>
    <w:rsid w:val="00617833"/>
    <w:rsid w:val="00620534"/>
    <w:rsid w:val="006223D2"/>
    <w:rsid w:val="0062264A"/>
    <w:rsid w:val="00623A5D"/>
    <w:rsid w:val="00623C63"/>
    <w:rsid w:val="00626573"/>
    <w:rsid w:val="00627F78"/>
    <w:rsid w:val="006311D5"/>
    <w:rsid w:val="00631E3F"/>
    <w:rsid w:val="0063319E"/>
    <w:rsid w:val="0063336F"/>
    <w:rsid w:val="00633594"/>
    <w:rsid w:val="00635C48"/>
    <w:rsid w:val="006372D9"/>
    <w:rsid w:val="00641734"/>
    <w:rsid w:val="00641E8B"/>
    <w:rsid w:val="00643363"/>
    <w:rsid w:val="00644FD7"/>
    <w:rsid w:val="00645584"/>
    <w:rsid w:val="0064741F"/>
    <w:rsid w:val="0065139A"/>
    <w:rsid w:val="00651551"/>
    <w:rsid w:val="00651A2D"/>
    <w:rsid w:val="006528EE"/>
    <w:rsid w:val="0065326F"/>
    <w:rsid w:val="006550CC"/>
    <w:rsid w:val="0065777F"/>
    <w:rsid w:val="0066002B"/>
    <w:rsid w:val="00661215"/>
    <w:rsid w:val="00661AA7"/>
    <w:rsid w:val="00664505"/>
    <w:rsid w:val="00665B00"/>
    <w:rsid w:val="006662CC"/>
    <w:rsid w:val="00666628"/>
    <w:rsid w:val="006674F3"/>
    <w:rsid w:val="0067055C"/>
    <w:rsid w:val="00670E3C"/>
    <w:rsid w:val="00672DBC"/>
    <w:rsid w:val="00673100"/>
    <w:rsid w:val="0067432C"/>
    <w:rsid w:val="0067494F"/>
    <w:rsid w:val="00674B52"/>
    <w:rsid w:val="0067580E"/>
    <w:rsid w:val="00677EFF"/>
    <w:rsid w:val="0068198D"/>
    <w:rsid w:val="00681B15"/>
    <w:rsid w:val="00681D1B"/>
    <w:rsid w:val="00683EF8"/>
    <w:rsid w:val="00685BE7"/>
    <w:rsid w:val="0069264E"/>
    <w:rsid w:val="0069447F"/>
    <w:rsid w:val="0069542B"/>
    <w:rsid w:val="00695590"/>
    <w:rsid w:val="00696051"/>
    <w:rsid w:val="0069663A"/>
    <w:rsid w:val="00696CF9"/>
    <w:rsid w:val="006A0B8F"/>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C3A99"/>
    <w:rsid w:val="006C499C"/>
    <w:rsid w:val="006C4D04"/>
    <w:rsid w:val="006C6008"/>
    <w:rsid w:val="006C60DF"/>
    <w:rsid w:val="006C7884"/>
    <w:rsid w:val="006D060F"/>
    <w:rsid w:val="006D39ED"/>
    <w:rsid w:val="006D3F8F"/>
    <w:rsid w:val="006D402F"/>
    <w:rsid w:val="006D5616"/>
    <w:rsid w:val="006D63F9"/>
    <w:rsid w:val="006D76CC"/>
    <w:rsid w:val="006D7D1E"/>
    <w:rsid w:val="006E4A27"/>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1BB4"/>
    <w:rsid w:val="00701BE2"/>
    <w:rsid w:val="00702793"/>
    <w:rsid w:val="00702F07"/>
    <w:rsid w:val="00703237"/>
    <w:rsid w:val="007051ED"/>
    <w:rsid w:val="00707EF8"/>
    <w:rsid w:val="0071130C"/>
    <w:rsid w:val="0071637B"/>
    <w:rsid w:val="00716DB1"/>
    <w:rsid w:val="00720289"/>
    <w:rsid w:val="007211C9"/>
    <w:rsid w:val="00721899"/>
    <w:rsid w:val="007218ED"/>
    <w:rsid w:val="00722032"/>
    <w:rsid w:val="00722781"/>
    <w:rsid w:val="00723A1C"/>
    <w:rsid w:val="00723BB8"/>
    <w:rsid w:val="00723C28"/>
    <w:rsid w:val="0072484A"/>
    <w:rsid w:val="00724E38"/>
    <w:rsid w:val="00725E9D"/>
    <w:rsid w:val="00732508"/>
    <w:rsid w:val="00734118"/>
    <w:rsid w:val="00735234"/>
    <w:rsid w:val="0073593C"/>
    <w:rsid w:val="0074002F"/>
    <w:rsid w:val="007411A7"/>
    <w:rsid w:val="00742DD7"/>
    <w:rsid w:val="00742F4D"/>
    <w:rsid w:val="0074336E"/>
    <w:rsid w:val="00743371"/>
    <w:rsid w:val="0074364F"/>
    <w:rsid w:val="00743836"/>
    <w:rsid w:val="007453C7"/>
    <w:rsid w:val="007479DD"/>
    <w:rsid w:val="00747CC3"/>
    <w:rsid w:val="00750B9B"/>
    <w:rsid w:val="007513C5"/>
    <w:rsid w:val="007514F5"/>
    <w:rsid w:val="0075367B"/>
    <w:rsid w:val="007551F2"/>
    <w:rsid w:val="00762037"/>
    <w:rsid w:val="00763F70"/>
    <w:rsid w:val="00764A38"/>
    <w:rsid w:val="00765B21"/>
    <w:rsid w:val="00765ED5"/>
    <w:rsid w:val="0076780C"/>
    <w:rsid w:val="00772A74"/>
    <w:rsid w:val="0077315F"/>
    <w:rsid w:val="00775671"/>
    <w:rsid w:val="00775D24"/>
    <w:rsid w:val="0077626D"/>
    <w:rsid w:val="0078047C"/>
    <w:rsid w:val="0078052F"/>
    <w:rsid w:val="00784937"/>
    <w:rsid w:val="00785D88"/>
    <w:rsid w:val="00787ED6"/>
    <w:rsid w:val="0079118A"/>
    <w:rsid w:val="00791858"/>
    <w:rsid w:val="00791AE1"/>
    <w:rsid w:val="00794048"/>
    <w:rsid w:val="007950E0"/>
    <w:rsid w:val="0079579F"/>
    <w:rsid w:val="00795AF7"/>
    <w:rsid w:val="007A316C"/>
    <w:rsid w:val="007A4D72"/>
    <w:rsid w:val="007B0226"/>
    <w:rsid w:val="007B14FB"/>
    <w:rsid w:val="007B2239"/>
    <w:rsid w:val="007B4FB7"/>
    <w:rsid w:val="007B529D"/>
    <w:rsid w:val="007C1504"/>
    <w:rsid w:val="007C15F0"/>
    <w:rsid w:val="007C1B0F"/>
    <w:rsid w:val="007C2070"/>
    <w:rsid w:val="007C44D5"/>
    <w:rsid w:val="007C6DD6"/>
    <w:rsid w:val="007C7155"/>
    <w:rsid w:val="007D119A"/>
    <w:rsid w:val="007D2908"/>
    <w:rsid w:val="007D3CB5"/>
    <w:rsid w:val="007D5918"/>
    <w:rsid w:val="007E568B"/>
    <w:rsid w:val="007F0349"/>
    <w:rsid w:val="007F38A2"/>
    <w:rsid w:val="007F38EE"/>
    <w:rsid w:val="007F59B9"/>
    <w:rsid w:val="007F6BDC"/>
    <w:rsid w:val="007F7097"/>
    <w:rsid w:val="00803709"/>
    <w:rsid w:val="00804E5D"/>
    <w:rsid w:val="0080554A"/>
    <w:rsid w:val="00806229"/>
    <w:rsid w:val="0080648C"/>
    <w:rsid w:val="00810EB1"/>
    <w:rsid w:val="00811252"/>
    <w:rsid w:val="00812021"/>
    <w:rsid w:val="0081383E"/>
    <w:rsid w:val="00814462"/>
    <w:rsid w:val="00815713"/>
    <w:rsid w:val="008167E9"/>
    <w:rsid w:val="00816A75"/>
    <w:rsid w:val="00817688"/>
    <w:rsid w:val="00820151"/>
    <w:rsid w:val="00822959"/>
    <w:rsid w:val="00822BED"/>
    <w:rsid w:val="00824B5E"/>
    <w:rsid w:val="00825C28"/>
    <w:rsid w:val="00827BD2"/>
    <w:rsid w:val="00827C78"/>
    <w:rsid w:val="0083017B"/>
    <w:rsid w:val="008304D7"/>
    <w:rsid w:val="0083128C"/>
    <w:rsid w:val="00832AF2"/>
    <w:rsid w:val="0083344B"/>
    <w:rsid w:val="00833488"/>
    <w:rsid w:val="0083458F"/>
    <w:rsid w:val="00835706"/>
    <w:rsid w:val="00837237"/>
    <w:rsid w:val="008375E8"/>
    <w:rsid w:val="00840322"/>
    <w:rsid w:val="0084048F"/>
    <w:rsid w:val="008405B4"/>
    <w:rsid w:val="00840C29"/>
    <w:rsid w:val="00840F18"/>
    <w:rsid w:val="00847BB1"/>
    <w:rsid w:val="008501AA"/>
    <w:rsid w:val="0085202B"/>
    <w:rsid w:val="00852DA3"/>
    <w:rsid w:val="00853BFD"/>
    <w:rsid w:val="00854FB6"/>
    <w:rsid w:val="00857BDB"/>
    <w:rsid w:val="00860F25"/>
    <w:rsid w:val="00862FFB"/>
    <w:rsid w:val="00863544"/>
    <w:rsid w:val="00863A1A"/>
    <w:rsid w:val="00863F09"/>
    <w:rsid w:val="00864F1A"/>
    <w:rsid w:val="0086672F"/>
    <w:rsid w:val="0086743E"/>
    <w:rsid w:val="008715FB"/>
    <w:rsid w:val="008741FC"/>
    <w:rsid w:val="0087491C"/>
    <w:rsid w:val="00874FE2"/>
    <w:rsid w:val="0087566E"/>
    <w:rsid w:val="0087753B"/>
    <w:rsid w:val="00880E2C"/>
    <w:rsid w:val="00885510"/>
    <w:rsid w:val="00891FC9"/>
    <w:rsid w:val="00892EA6"/>
    <w:rsid w:val="008957A7"/>
    <w:rsid w:val="00895E35"/>
    <w:rsid w:val="008962BD"/>
    <w:rsid w:val="00897A2C"/>
    <w:rsid w:val="00897A84"/>
    <w:rsid w:val="008A16D9"/>
    <w:rsid w:val="008A277D"/>
    <w:rsid w:val="008A2918"/>
    <w:rsid w:val="008A2DE9"/>
    <w:rsid w:val="008A313A"/>
    <w:rsid w:val="008A4329"/>
    <w:rsid w:val="008A5658"/>
    <w:rsid w:val="008B07B3"/>
    <w:rsid w:val="008B1398"/>
    <w:rsid w:val="008B4432"/>
    <w:rsid w:val="008B63E6"/>
    <w:rsid w:val="008B6D60"/>
    <w:rsid w:val="008C0626"/>
    <w:rsid w:val="008C0AC5"/>
    <w:rsid w:val="008C1C52"/>
    <w:rsid w:val="008C2663"/>
    <w:rsid w:val="008C2F66"/>
    <w:rsid w:val="008C31DF"/>
    <w:rsid w:val="008C3E1B"/>
    <w:rsid w:val="008C469F"/>
    <w:rsid w:val="008C630F"/>
    <w:rsid w:val="008C770B"/>
    <w:rsid w:val="008D07BE"/>
    <w:rsid w:val="008D170D"/>
    <w:rsid w:val="008D2471"/>
    <w:rsid w:val="008D5F10"/>
    <w:rsid w:val="008D5F41"/>
    <w:rsid w:val="008D7FA1"/>
    <w:rsid w:val="008E34FD"/>
    <w:rsid w:val="008E3594"/>
    <w:rsid w:val="008E5BB5"/>
    <w:rsid w:val="008E79AE"/>
    <w:rsid w:val="008F4BAD"/>
    <w:rsid w:val="008F5066"/>
    <w:rsid w:val="00901B57"/>
    <w:rsid w:val="00901C49"/>
    <w:rsid w:val="009049C5"/>
    <w:rsid w:val="0090538D"/>
    <w:rsid w:val="00907ABB"/>
    <w:rsid w:val="009119F7"/>
    <w:rsid w:val="009130B5"/>
    <w:rsid w:val="009140CF"/>
    <w:rsid w:val="009140DB"/>
    <w:rsid w:val="009151EB"/>
    <w:rsid w:val="00915C1D"/>
    <w:rsid w:val="00917774"/>
    <w:rsid w:val="00920B1C"/>
    <w:rsid w:val="00920E6C"/>
    <w:rsid w:val="0092175E"/>
    <w:rsid w:val="0092227E"/>
    <w:rsid w:val="00925686"/>
    <w:rsid w:val="00925EA5"/>
    <w:rsid w:val="009317AB"/>
    <w:rsid w:val="00931D31"/>
    <w:rsid w:val="009322CC"/>
    <w:rsid w:val="009337A5"/>
    <w:rsid w:val="00933F77"/>
    <w:rsid w:val="0093475F"/>
    <w:rsid w:val="00936C14"/>
    <w:rsid w:val="00937961"/>
    <w:rsid w:val="00937CB6"/>
    <w:rsid w:val="0094196C"/>
    <w:rsid w:val="0094416D"/>
    <w:rsid w:val="009470F0"/>
    <w:rsid w:val="00952338"/>
    <w:rsid w:val="00952525"/>
    <w:rsid w:val="00952F60"/>
    <w:rsid w:val="00955FFC"/>
    <w:rsid w:val="009569C1"/>
    <w:rsid w:val="00956E43"/>
    <w:rsid w:val="00957704"/>
    <w:rsid w:val="00961EE0"/>
    <w:rsid w:val="00962232"/>
    <w:rsid w:val="009644DC"/>
    <w:rsid w:val="00966D96"/>
    <w:rsid w:val="00967007"/>
    <w:rsid w:val="00967C29"/>
    <w:rsid w:val="00971B84"/>
    <w:rsid w:val="00974F99"/>
    <w:rsid w:val="009759B7"/>
    <w:rsid w:val="00975B7A"/>
    <w:rsid w:val="00981DF9"/>
    <w:rsid w:val="0098229C"/>
    <w:rsid w:val="00982950"/>
    <w:rsid w:val="00985BF5"/>
    <w:rsid w:val="009866D6"/>
    <w:rsid w:val="00986890"/>
    <w:rsid w:val="00995B13"/>
    <w:rsid w:val="00995D15"/>
    <w:rsid w:val="00995FC7"/>
    <w:rsid w:val="009A1FF6"/>
    <w:rsid w:val="009A238B"/>
    <w:rsid w:val="009A39C0"/>
    <w:rsid w:val="009A3EEB"/>
    <w:rsid w:val="009A46DC"/>
    <w:rsid w:val="009A4D2B"/>
    <w:rsid w:val="009A63A3"/>
    <w:rsid w:val="009A66EF"/>
    <w:rsid w:val="009A69FA"/>
    <w:rsid w:val="009A7320"/>
    <w:rsid w:val="009B02CD"/>
    <w:rsid w:val="009B0935"/>
    <w:rsid w:val="009B2177"/>
    <w:rsid w:val="009B27F9"/>
    <w:rsid w:val="009B38CA"/>
    <w:rsid w:val="009B4E66"/>
    <w:rsid w:val="009B5DE2"/>
    <w:rsid w:val="009B6D7E"/>
    <w:rsid w:val="009C3B43"/>
    <w:rsid w:val="009C4F00"/>
    <w:rsid w:val="009C568C"/>
    <w:rsid w:val="009D0043"/>
    <w:rsid w:val="009D04E7"/>
    <w:rsid w:val="009D0943"/>
    <w:rsid w:val="009D0DA6"/>
    <w:rsid w:val="009D1B1C"/>
    <w:rsid w:val="009D22B5"/>
    <w:rsid w:val="009D34AD"/>
    <w:rsid w:val="009D3F9D"/>
    <w:rsid w:val="009D5C21"/>
    <w:rsid w:val="009D7195"/>
    <w:rsid w:val="009D7660"/>
    <w:rsid w:val="009E0CCA"/>
    <w:rsid w:val="009E1E2D"/>
    <w:rsid w:val="009E2B53"/>
    <w:rsid w:val="009E3C76"/>
    <w:rsid w:val="009E41D8"/>
    <w:rsid w:val="009E58BF"/>
    <w:rsid w:val="009E5C47"/>
    <w:rsid w:val="009E5DF9"/>
    <w:rsid w:val="009E62D1"/>
    <w:rsid w:val="009E730E"/>
    <w:rsid w:val="009E74DE"/>
    <w:rsid w:val="009F0AE2"/>
    <w:rsid w:val="009F2331"/>
    <w:rsid w:val="009F57D5"/>
    <w:rsid w:val="009F6447"/>
    <w:rsid w:val="009F68D7"/>
    <w:rsid w:val="00A01F8F"/>
    <w:rsid w:val="00A025A4"/>
    <w:rsid w:val="00A04251"/>
    <w:rsid w:val="00A079D9"/>
    <w:rsid w:val="00A104D5"/>
    <w:rsid w:val="00A10C51"/>
    <w:rsid w:val="00A120D8"/>
    <w:rsid w:val="00A12C28"/>
    <w:rsid w:val="00A135EC"/>
    <w:rsid w:val="00A143C8"/>
    <w:rsid w:val="00A1465B"/>
    <w:rsid w:val="00A16552"/>
    <w:rsid w:val="00A2470D"/>
    <w:rsid w:val="00A24D10"/>
    <w:rsid w:val="00A30C38"/>
    <w:rsid w:val="00A31A36"/>
    <w:rsid w:val="00A32117"/>
    <w:rsid w:val="00A32B8F"/>
    <w:rsid w:val="00A36065"/>
    <w:rsid w:val="00A361D5"/>
    <w:rsid w:val="00A37265"/>
    <w:rsid w:val="00A3735B"/>
    <w:rsid w:val="00A37EB3"/>
    <w:rsid w:val="00A400AA"/>
    <w:rsid w:val="00A40EFC"/>
    <w:rsid w:val="00A41B14"/>
    <w:rsid w:val="00A42B6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7D4B"/>
    <w:rsid w:val="00A61597"/>
    <w:rsid w:val="00A61EF4"/>
    <w:rsid w:val="00A62BBE"/>
    <w:rsid w:val="00A64E50"/>
    <w:rsid w:val="00A659EB"/>
    <w:rsid w:val="00A6655C"/>
    <w:rsid w:val="00A67196"/>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C54"/>
    <w:rsid w:val="00A84439"/>
    <w:rsid w:val="00A851FF"/>
    <w:rsid w:val="00A860EF"/>
    <w:rsid w:val="00A861D8"/>
    <w:rsid w:val="00A907F2"/>
    <w:rsid w:val="00A92BEA"/>
    <w:rsid w:val="00A9550E"/>
    <w:rsid w:val="00A96A8A"/>
    <w:rsid w:val="00A976AC"/>
    <w:rsid w:val="00AA01EA"/>
    <w:rsid w:val="00AA2796"/>
    <w:rsid w:val="00AA387F"/>
    <w:rsid w:val="00AA696C"/>
    <w:rsid w:val="00AB030E"/>
    <w:rsid w:val="00AB0AD0"/>
    <w:rsid w:val="00AB4390"/>
    <w:rsid w:val="00AB5E6E"/>
    <w:rsid w:val="00AB68E9"/>
    <w:rsid w:val="00AB6A0F"/>
    <w:rsid w:val="00AC081B"/>
    <w:rsid w:val="00AC1CD1"/>
    <w:rsid w:val="00AC2233"/>
    <w:rsid w:val="00AC26A0"/>
    <w:rsid w:val="00AC3F5E"/>
    <w:rsid w:val="00AC60C6"/>
    <w:rsid w:val="00AD1F7B"/>
    <w:rsid w:val="00AD323E"/>
    <w:rsid w:val="00AD51AF"/>
    <w:rsid w:val="00AD613B"/>
    <w:rsid w:val="00AD6839"/>
    <w:rsid w:val="00AD6AB7"/>
    <w:rsid w:val="00AD77A3"/>
    <w:rsid w:val="00AE04B8"/>
    <w:rsid w:val="00AE2B96"/>
    <w:rsid w:val="00AE3EE8"/>
    <w:rsid w:val="00AE7F2B"/>
    <w:rsid w:val="00AF14FF"/>
    <w:rsid w:val="00AF16F0"/>
    <w:rsid w:val="00AF2957"/>
    <w:rsid w:val="00AF3D5C"/>
    <w:rsid w:val="00AF4EE4"/>
    <w:rsid w:val="00AF58EB"/>
    <w:rsid w:val="00B03010"/>
    <w:rsid w:val="00B0434F"/>
    <w:rsid w:val="00B05171"/>
    <w:rsid w:val="00B0536F"/>
    <w:rsid w:val="00B05512"/>
    <w:rsid w:val="00B05D60"/>
    <w:rsid w:val="00B07164"/>
    <w:rsid w:val="00B07527"/>
    <w:rsid w:val="00B1012E"/>
    <w:rsid w:val="00B101BB"/>
    <w:rsid w:val="00B10353"/>
    <w:rsid w:val="00B107AB"/>
    <w:rsid w:val="00B1382C"/>
    <w:rsid w:val="00B158CE"/>
    <w:rsid w:val="00B15E79"/>
    <w:rsid w:val="00B160F8"/>
    <w:rsid w:val="00B16B45"/>
    <w:rsid w:val="00B17596"/>
    <w:rsid w:val="00B17813"/>
    <w:rsid w:val="00B17DB1"/>
    <w:rsid w:val="00B17F54"/>
    <w:rsid w:val="00B21B09"/>
    <w:rsid w:val="00B25126"/>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75BB"/>
    <w:rsid w:val="00B5109D"/>
    <w:rsid w:val="00B52693"/>
    <w:rsid w:val="00B52BB8"/>
    <w:rsid w:val="00B54447"/>
    <w:rsid w:val="00B54C3C"/>
    <w:rsid w:val="00B555AE"/>
    <w:rsid w:val="00B56572"/>
    <w:rsid w:val="00B61D8D"/>
    <w:rsid w:val="00B62485"/>
    <w:rsid w:val="00B6358E"/>
    <w:rsid w:val="00B6359B"/>
    <w:rsid w:val="00B63AB4"/>
    <w:rsid w:val="00B64AEE"/>
    <w:rsid w:val="00B651DB"/>
    <w:rsid w:val="00B66036"/>
    <w:rsid w:val="00B70894"/>
    <w:rsid w:val="00B72A4F"/>
    <w:rsid w:val="00B72BFE"/>
    <w:rsid w:val="00B7386D"/>
    <w:rsid w:val="00B741F7"/>
    <w:rsid w:val="00B74D96"/>
    <w:rsid w:val="00B74EC4"/>
    <w:rsid w:val="00B76412"/>
    <w:rsid w:val="00B8389B"/>
    <w:rsid w:val="00B8457C"/>
    <w:rsid w:val="00B84FBA"/>
    <w:rsid w:val="00B90E21"/>
    <w:rsid w:val="00B9158B"/>
    <w:rsid w:val="00B91613"/>
    <w:rsid w:val="00B91F5C"/>
    <w:rsid w:val="00B92868"/>
    <w:rsid w:val="00B92E51"/>
    <w:rsid w:val="00B951D0"/>
    <w:rsid w:val="00B95799"/>
    <w:rsid w:val="00B95E0D"/>
    <w:rsid w:val="00B97FBA"/>
    <w:rsid w:val="00BA272C"/>
    <w:rsid w:val="00BA283B"/>
    <w:rsid w:val="00BA54B7"/>
    <w:rsid w:val="00BA5F40"/>
    <w:rsid w:val="00BA7C3F"/>
    <w:rsid w:val="00BB0762"/>
    <w:rsid w:val="00BB582F"/>
    <w:rsid w:val="00BB68A3"/>
    <w:rsid w:val="00BC03CF"/>
    <w:rsid w:val="00BC0D8C"/>
    <w:rsid w:val="00BC431E"/>
    <w:rsid w:val="00BC73FF"/>
    <w:rsid w:val="00BD1A70"/>
    <w:rsid w:val="00BD1D8D"/>
    <w:rsid w:val="00BD2F13"/>
    <w:rsid w:val="00BD5BE4"/>
    <w:rsid w:val="00BD6C2A"/>
    <w:rsid w:val="00BD6E66"/>
    <w:rsid w:val="00BD6E88"/>
    <w:rsid w:val="00BD744E"/>
    <w:rsid w:val="00BE47F6"/>
    <w:rsid w:val="00BE5912"/>
    <w:rsid w:val="00BF0CDC"/>
    <w:rsid w:val="00BF30C7"/>
    <w:rsid w:val="00BF318B"/>
    <w:rsid w:val="00BF3A53"/>
    <w:rsid w:val="00BF6077"/>
    <w:rsid w:val="00BF7138"/>
    <w:rsid w:val="00BF7EF2"/>
    <w:rsid w:val="00C02AE6"/>
    <w:rsid w:val="00C03F81"/>
    <w:rsid w:val="00C069DD"/>
    <w:rsid w:val="00C070FF"/>
    <w:rsid w:val="00C07B22"/>
    <w:rsid w:val="00C07DA9"/>
    <w:rsid w:val="00C07FCF"/>
    <w:rsid w:val="00C10078"/>
    <w:rsid w:val="00C13FB3"/>
    <w:rsid w:val="00C15762"/>
    <w:rsid w:val="00C165DD"/>
    <w:rsid w:val="00C17412"/>
    <w:rsid w:val="00C17595"/>
    <w:rsid w:val="00C21140"/>
    <w:rsid w:val="00C2229C"/>
    <w:rsid w:val="00C22DB9"/>
    <w:rsid w:val="00C23945"/>
    <w:rsid w:val="00C244A0"/>
    <w:rsid w:val="00C3135B"/>
    <w:rsid w:val="00C313A3"/>
    <w:rsid w:val="00C31508"/>
    <w:rsid w:val="00C32954"/>
    <w:rsid w:val="00C33CDE"/>
    <w:rsid w:val="00C4207B"/>
    <w:rsid w:val="00C42754"/>
    <w:rsid w:val="00C430F6"/>
    <w:rsid w:val="00C43135"/>
    <w:rsid w:val="00C4363D"/>
    <w:rsid w:val="00C43BFB"/>
    <w:rsid w:val="00C44051"/>
    <w:rsid w:val="00C505D1"/>
    <w:rsid w:val="00C50E75"/>
    <w:rsid w:val="00C515CE"/>
    <w:rsid w:val="00C517C8"/>
    <w:rsid w:val="00C52759"/>
    <w:rsid w:val="00C533F8"/>
    <w:rsid w:val="00C53F64"/>
    <w:rsid w:val="00C614DC"/>
    <w:rsid w:val="00C6172D"/>
    <w:rsid w:val="00C64A8E"/>
    <w:rsid w:val="00C65B35"/>
    <w:rsid w:val="00C65C8A"/>
    <w:rsid w:val="00C65F7F"/>
    <w:rsid w:val="00C660C3"/>
    <w:rsid w:val="00C66B33"/>
    <w:rsid w:val="00C67453"/>
    <w:rsid w:val="00C72591"/>
    <w:rsid w:val="00C72ADE"/>
    <w:rsid w:val="00C73F48"/>
    <w:rsid w:val="00C743D2"/>
    <w:rsid w:val="00C75083"/>
    <w:rsid w:val="00C76BBA"/>
    <w:rsid w:val="00C8019F"/>
    <w:rsid w:val="00C813C9"/>
    <w:rsid w:val="00C841F1"/>
    <w:rsid w:val="00C849B6"/>
    <w:rsid w:val="00C85831"/>
    <w:rsid w:val="00C87645"/>
    <w:rsid w:val="00C90B4F"/>
    <w:rsid w:val="00C9131D"/>
    <w:rsid w:val="00C92575"/>
    <w:rsid w:val="00C9420E"/>
    <w:rsid w:val="00C94671"/>
    <w:rsid w:val="00C965FD"/>
    <w:rsid w:val="00CA14B2"/>
    <w:rsid w:val="00CA2517"/>
    <w:rsid w:val="00CA2AAE"/>
    <w:rsid w:val="00CA35A8"/>
    <w:rsid w:val="00CA504E"/>
    <w:rsid w:val="00CB01ED"/>
    <w:rsid w:val="00CB0DC0"/>
    <w:rsid w:val="00CB2D2A"/>
    <w:rsid w:val="00CB2DA0"/>
    <w:rsid w:val="00CB4F13"/>
    <w:rsid w:val="00CC1062"/>
    <w:rsid w:val="00CC115F"/>
    <w:rsid w:val="00CC3399"/>
    <w:rsid w:val="00CC3C6D"/>
    <w:rsid w:val="00CC3D53"/>
    <w:rsid w:val="00CC4EF9"/>
    <w:rsid w:val="00CD2D33"/>
    <w:rsid w:val="00CD3D7E"/>
    <w:rsid w:val="00CD4EB6"/>
    <w:rsid w:val="00CD6A92"/>
    <w:rsid w:val="00CD713B"/>
    <w:rsid w:val="00CE15F2"/>
    <w:rsid w:val="00CE16DC"/>
    <w:rsid w:val="00CE17EA"/>
    <w:rsid w:val="00CE1C12"/>
    <w:rsid w:val="00CF16E6"/>
    <w:rsid w:val="00CF3E03"/>
    <w:rsid w:val="00CF5B29"/>
    <w:rsid w:val="00D00354"/>
    <w:rsid w:val="00D00F35"/>
    <w:rsid w:val="00D01B2E"/>
    <w:rsid w:val="00D02148"/>
    <w:rsid w:val="00D02CE7"/>
    <w:rsid w:val="00D03732"/>
    <w:rsid w:val="00D0786D"/>
    <w:rsid w:val="00D07F92"/>
    <w:rsid w:val="00D11BAB"/>
    <w:rsid w:val="00D14C2B"/>
    <w:rsid w:val="00D20776"/>
    <w:rsid w:val="00D22774"/>
    <w:rsid w:val="00D2461E"/>
    <w:rsid w:val="00D24A0B"/>
    <w:rsid w:val="00D279C4"/>
    <w:rsid w:val="00D31A0B"/>
    <w:rsid w:val="00D34DAB"/>
    <w:rsid w:val="00D35236"/>
    <w:rsid w:val="00D4062B"/>
    <w:rsid w:val="00D41658"/>
    <w:rsid w:val="00D43E41"/>
    <w:rsid w:val="00D4624D"/>
    <w:rsid w:val="00D47CF1"/>
    <w:rsid w:val="00D504E1"/>
    <w:rsid w:val="00D53B45"/>
    <w:rsid w:val="00D54468"/>
    <w:rsid w:val="00D56D2D"/>
    <w:rsid w:val="00D57423"/>
    <w:rsid w:val="00D57636"/>
    <w:rsid w:val="00D625BA"/>
    <w:rsid w:val="00D62ABE"/>
    <w:rsid w:val="00D64236"/>
    <w:rsid w:val="00D652A8"/>
    <w:rsid w:val="00D67710"/>
    <w:rsid w:val="00D67871"/>
    <w:rsid w:val="00D72374"/>
    <w:rsid w:val="00D758F5"/>
    <w:rsid w:val="00D83939"/>
    <w:rsid w:val="00D8413C"/>
    <w:rsid w:val="00D84B56"/>
    <w:rsid w:val="00D85015"/>
    <w:rsid w:val="00D8559A"/>
    <w:rsid w:val="00D85833"/>
    <w:rsid w:val="00D86047"/>
    <w:rsid w:val="00D866DD"/>
    <w:rsid w:val="00D86FD8"/>
    <w:rsid w:val="00D9090F"/>
    <w:rsid w:val="00D917BB"/>
    <w:rsid w:val="00D925E8"/>
    <w:rsid w:val="00D9374E"/>
    <w:rsid w:val="00D945EC"/>
    <w:rsid w:val="00D94DB7"/>
    <w:rsid w:val="00D95669"/>
    <w:rsid w:val="00D95D0E"/>
    <w:rsid w:val="00D968AE"/>
    <w:rsid w:val="00D97D88"/>
    <w:rsid w:val="00DA2B4B"/>
    <w:rsid w:val="00DA2BBF"/>
    <w:rsid w:val="00DA2E75"/>
    <w:rsid w:val="00DA4171"/>
    <w:rsid w:val="00DA49D6"/>
    <w:rsid w:val="00DA4D62"/>
    <w:rsid w:val="00DA59BC"/>
    <w:rsid w:val="00DA631A"/>
    <w:rsid w:val="00DA6811"/>
    <w:rsid w:val="00DA6DDB"/>
    <w:rsid w:val="00DA7E2E"/>
    <w:rsid w:val="00DB296A"/>
    <w:rsid w:val="00DB4DA1"/>
    <w:rsid w:val="00DB56B6"/>
    <w:rsid w:val="00DB7FFC"/>
    <w:rsid w:val="00DC0355"/>
    <w:rsid w:val="00DC2232"/>
    <w:rsid w:val="00DC2BF7"/>
    <w:rsid w:val="00DC5518"/>
    <w:rsid w:val="00DC6E60"/>
    <w:rsid w:val="00DC6E76"/>
    <w:rsid w:val="00DC78A4"/>
    <w:rsid w:val="00DC7D22"/>
    <w:rsid w:val="00DD07E6"/>
    <w:rsid w:val="00DD1F4D"/>
    <w:rsid w:val="00DD366C"/>
    <w:rsid w:val="00DD3699"/>
    <w:rsid w:val="00DD548D"/>
    <w:rsid w:val="00DD7190"/>
    <w:rsid w:val="00DE13EB"/>
    <w:rsid w:val="00DE30C1"/>
    <w:rsid w:val="00DE3A81"/>
    <w:rsid w:val="00DE69D3"/>
    <w:rsid w:val="00DE6C7A"/>
    <w:rsid w:val="00DE7F48"/>
    <w:rsid w:val="00DF0567"/>
    <w:rsid w:val="00DF0D8C"/>
    <w:rsid w:val="00DF18FF"/>
    <w:rsid w:val="00DF212F"/>
    <w:rsid w:val="00DF35EC"/>
    <w:rsid w:val="00DF4140"/>
    <w:rsid w:val="00DF45BD"/>
    <w:rsid w:val="00DF4CDA"/>
    <w:rsid w:val="00DF4D04"/>
    <w:rsid w:val="00E03740"/>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3A06"/>
    <w:rsid w:val="00E344D8"/>
    <w:rsid w:val="00E349BE"/>
    <w:rsid w:val="00E358BC"/>
    <w:rsid w:val="00E368CF"/>
    <w:rsid w:val="00E37854"/>
    <w:rsid w:val="00E40237"/>
    <w:rsid w:val="00E40A8E"/>
    <w:rsid w:val="00E459F8"/>
    <w:rsid w:val="00E467A7"/>
    <w:rsid w:val="00E4683C"/>
    <w:rsid w:val="00E47F36"/>
    <w:rsid w:val="00E503C9"/>
    <w:rsid w:val="00E50C7C"/>
    <w:rsid w:val="00E538C0"/>
    <w:rsid w:val="00E5396D"/>
    <w:rsid w:val="00E55A9E"/>
    <w:rsid w:val="00E57EC8"/>
    <w:rsid w:val="00E659FB"/>
    <w:rsid w:val="00E66304"/>
    <w:rsid w:val="00E67C68"/>
    <w:rsid w:val="00E711A8"/>
    <w:rsid w:val="00E716C0"/>
    <w:rsid w:val="00E75C2A"/>
    <w:rsid w:val="00E77434"/>
    <w:rsid w:val="00E81C38"/>
    <w:rsid w:val="00E81C7E"/>
    <w:rsid w:val="00E85A85"/>
    <w:rsid w:val="00E86B16"/>
    <w:rsid w:val="00E87F89"/>
    <w:rsid w:val="00E90DD9"/>
    <w:rsid w:val="00E91635"/>
    <w:rsid w:val="00E92249"/>
    <w:rsid w:val="00E93437"/>
    <w:rsid w:val="00E93CE0"/>
    <w:rsid w:val="00E94637"/>
    <w:rsid w:val="00EA256B"/>
    <w:rsid w:val="00EA4606"/>
    <w:rsid w:val="00EB3536"/>
    <w:rsid w:val="00EB3716"/>
    <w:rsid w:val="00EB58B7"/>
    <w:rsid w:val="00EB5F3B"/>
    <w:rsid w:val="00EB651A"/>
    <w:rsid w:val="00EB77DC"/>
    <w:rsid w:val="00EC1613"/>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2761"/>
    <w:rsid w:val="00ED394F"/>
    <w:rsid w:val="00ED407B"/>
    <w:rsid w:val="00ED537C"/>
    <w:rsid w:val="00ED5ED0"/>
    <w:rsid w:val="00ED63AC"/>
    <w:rsid w:val="00EE1404"/>
    <w:rsid w:val="00EE1410"/>
    <w:rsid w:val="00EE33E4"/>
    <w:rsid w:val="00EE75C9"/>
    <w:rsid w:val="00EF220E"/>
    <w:rsid w:val="00EF2A84"/>
    <w:rsid w:val="00EF36C1"/>
    <w:rsid w:val="00EF43D5"/>
    <w:rsid w:val="00EF4517"/>
    <w:rsid w:val="00EF54FA"/>
    <w:rsid w:val="00EF57C8"/>
    <w:rsid w:val="00EF5812"/>
    <w:rsid w:val="00EF60B2"/>
    <w:rsid w:val="00EF6431"/>
    <w:rsid w:val="00F0290B"/>
    <w:rsid w:val="00F031F5"/>
    <w:rsid w:val="00F03BDE"/>
    <w:rsid w:val="00F04597"/>
    <w:rsid w:val="00F05C7D"/>
    <w:rsid w:val="00F06982"/>
    <w:rsid w:val="00F06FE4"/>
    <w:rsid w:val="00F10094"/>
    <w:rsid w:val="00F10AFF"/>
    <w:rsid w:val="00F10BEF"/>
    <w:rsid w:val="00F11D6F"/>
    <w:rsid w:val="00F13722"/>
    <w:rsid w:val="00F14E65"/>
    <w:rsid w:val="00F163C8"/>
    <w:rsid w:val="00F1682D"/>
    <w:rsid w:val="00F228D9"/>
    <w:rsid w:val="00F23D01"/>
    <w:rsid w:val="00F2484E"/>
    <w:rsid w:val="00F24B3B"/>
    <w:rsid w:val="00F24C12"/>
    <w:rsid w:val="00F24D1E"/>
    <w:rsid w:val="00F251F2"/>
    <w:rsid w:val="00F27AF5"/>
    <w:rsid w:val="00F307B1"/>
    <w:rsid w:val="00F31AB3"/>
    <w:rsid w:val="00F33F9D"/>
    <w:rsid w:val="00F34220"/>
    <w:rsid w:val="00F350CC"/>
    <w:rsid w:val="00F36032"/>
    <w:rsid w:val="00F420E9"/>
    <w:rsid w:val="00F42B90"/>
    <w:rsid w:val="00F43169"/>
    <w:rsid w:val="00F447D0"/>
    <w:rsid w:val="00F44EC9"/>
    <w:rsid w:val="00F45431"/>
    <w:rsid w:val="00F46A7F"/>
    <w:rsid w:val="00F46D02"/>
    <w:rsid w:val="00F47234"/>
    <w:rsid w:val="00F506CF"/>
    <w:rsid w:val="00F5099B"/>
    <w:rsid w:val="00F51978"/>
    <w:rsid w:val="00F54C68"/>
    <w:rsid w:val="00F55AD4"/>
    <w:rsid w:val="00F55C7E"/>
    <w:rsid w:val="00F567F7"/>
    <w:rsid w:val="00F56987"/>
    <w:rsid w:val="00F5770D"/>
    <w:rsid w:val="00F61414"/>
    <w:rsid w:val="00F63909"/>
    <w:rsid w:val="00F64605"/>
    <w:rsid w:val="00F65255"/>
    <w:rsid w:val="00F67240"/>
    <w:rsid w:val="00F67755"/>
    <w:rsid w:val="00F72A84"/>
    <w:rsid w:val="00F72C0A"/>
    <w:rsid w:val="00F72F94"/>
    <w:rsid w:val="00F74532"/>
    <w:rsid w:val="00F76DDE"/>
    <w:rsid w:val="00F82A64"/>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77C7"/>
    <w:rsid w:val="00FA0442"/>
    <w:rsid w:val="00FA0954"/>
    <w:rsid w:val="00FA1313"/>
    <w:rsid w:val="00FA1859"/>
    <w:rsid w:val="00FA21F4"/>
    <w:rsid w:val="00FA3704"/>
    <w:rsid w:val="00FA57F8"/>
    <w:rsid w:val="00FA757D"/>
    <w:rsid w:val="00FC23FD"/>
    <w:rsid w:val="00FC2CB2"/>
    <w:rsid w:val="00FC3076"/>
    <w:rsid w:val="00FC31B1"/>
    <w:rsid w:val="00FC4F45"/>
    <w:rsid w:val="00FC76DB"/>
    <w:rsid w:val="00FD2B09"/>
    <w:rsid w:val="00FD382D"/>
    <w:rsid w:val="00FD4E80"/>
    <w:rsid w:val="00FD5CD4"/>
    <w:rsid w:val="00FD6F6F"/>
    <w:rsid w:val="00FD73C8"/>
    <w:rsid w:val="00FD7B92"/>
    <w:rsid w:val="00FD7FC5"/>
    <w:rsid w:val="00FE0F67"/>
    <w:rsid w:val="00FE1067"/>
    <w:rsid w:val="00FE4B3A"/>
    <w:rsid w:val="00FE5743"/>
    <w:rsid w:val="00FF0609"/>
    <w:rsid w:val="00FF1A54"/>
    <w:rsid w:val="00FF33FD"/>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0.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A01CC-F071-4B36-B995-31A55E5D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2508</Words>
  <Characters>13800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11</cp:revision>
  <cp:lastPrinted>2024-04-17T19:52:00Z</cp:lastPrinted>
  <dcterms:created xsi:type="dcterms:W3CDTF">2024-04-08T02:33:00Z</dcterms:created>
  <dcterms:modified xsi:type="dcterms:W3CDTF">2024-04-17T19:53:00Z</dcterms:modified>
</cp:coreProperties>
</file>