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99D5F" w14:textId="77777777" w:rsidR="00784046" w:rsidRPr="00A51CBC" w:rsidRDefault="00784046" w:rsidP="0078404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617293E" w14:textId="77777777" w:rsidR="00784046" w:rsidRPr="00A51CBC" w:rsidRDefault="00784046" w:rsidP="00784046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6B069BB8" wp14:editId="7790DC46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6005F" w14:textId="77777777" w:rsidR="00784046" w:rsidRPr="00A51CBC" w:rsidRDefault="00784046" w:rsidP="00784046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784046" w:rsidRPr="00A51CBC" w14:paraId="45ECED04" w14:textId="77777777" w:rsidTr="003D4AFB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029915FB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784046" w:rsidRPr="00A51CBC" w14:paraId="21DC07A1" w14:textId="77777777" w:rsidTr="003D4AFB">
        <w:trPr>
          <w:trHeight w:val="375"/>
        </w:trPr>
        <w:tc>
          <w:tcPr>
            <w:tcW w:w="3461" w:type="dxa"/>
          </w:tcPr>
          <w:p w14:paraId="2D4D7A17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1051815A" w14:textId="0F078625" w:rsidR="00784046" w:rsidRPr="00A51CBC" w:rsidRDefault="00270572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EDGAR ROLDAN HERNANDEZ </w:t>
            </w:r>
          </w:p>
        </w:tc>
      </w:tr>
      <w:tr w:rsidR="00784046" w:rsidRPr="00A51CBC" w14:paraId="60F8AE74" w14:textId="77777777" w:rsidTr="003D4AFB">
        <w:trPr>
          <w:trHeight w:val="315"/>
        </w:trPr>
        <w:tc>
          <w:tcPr>
            <w:tcW w:w="3461" w:type="dxa"/>
          </w:tcPr>
          <w:p w14:paraId="111D6C3B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30CDC483" w14:textId="168FF26A" w:rsidR="00784046" w:rsidRPr="00A51CBC" w:rsidRDefault="009B2370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</w:tr>
      <w:tr w:rsidR="00784046" w:rsidRPr="00A51CBC" w14:paraId="18E0861E" w14:textId="77777777" w:rsidTr="003D4AFB">
        <w:trPr>
          <w:trHeight w:val="390"/>
        </w:trPr>
        <w:tc>
          <w:tcPr>
            <w:tcW w:w="3461" w:type="dxa"/>
          </w:tcPr>
          <w:p w14:paraId="3F498250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02191FAB" w14:textId="14C47822" w:rsidR="00784046" w:rsidRPr="00A51CBC" w:rsidRDefault="00F337E2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  <w:r w:rsidR="00E83A3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CIVIL DE MORELOS</w:t>
            </w:r>
          </w:p>
        </w:tc>
      </w:tr>
      <w:tr w:rsidR="00784046" w:rsidRPr="00A51CBC" w14:paraId="501EB7DD" w14:textId="77777777" w:rsidTr="003D4AFB">
        <w:trPr>
          <w:trHeight w:val="390"/>
        </w:trPr>
        <w:tc>
          <w:tcPr>
            <w:tcW w:w="3461" w:type="dxa"/>
          </w:tcPr>
          <w:p w14:paraId="7885D9B4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1FDD70F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42304047" w14:textId="5B6D4FED" w:rsidR="00784046" w:rsidRPr="00A51CBC" w:rsidRDefault="00F337E2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27057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27057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/1984</w:t>
            </w:r>
          </w:p>
        </w:tc>
      </w:tr>
    </w:tbl>
    <w:p w14:paraId="45806B7B" w14:textId="77777777" w:rsidR="00784046" w:rsidRPr="00A51CBC" w:rsidRDefault="00784046" w:rsidP="0078404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784046" w:rsidRPr="00A51CBC" w14:paraId="517F6027" w14:textId="77777777" w:rsidTr="003D4AFB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6AA8317C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784046" w:rsidRPr="00A51CBC" w14:paraId="10D3612D" w14:textId="77777777" w:rsidTr="003D4AFB">
        <w:trPr>
          <w:trHeight w:val="375"/>
        </w:trPr>
        <w:tc>
          <w:tcPr>
            <w:tcW w:w="3461" w:type="dxa"/>
          </w:tcPr>
          <w:p w14:paraId="1E98868C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5C6E5C2F" w14:textId="77777777" w:rsidR="00784046" w:rsidRPr="00A51CBC" w:rsidRDefault="00784046" w:rsidP="001F13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784046" w:rsidRPr="00A51CBC" w14:paraId="36129C2C" w14:textId="77777777" w:rsidTr="003D4AFB">
        <w:trPr>
          <w:trHeight w:val="315"/>
        </w:trPr>
        <w:tc>
          <w:tcPr>
            <w:tcW w:w="3461" w:type="dxa"/>
          </w:tcPr>
          <w:p w14:paraId="1843B69E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78C198DF" w14:textId="03153308" w:rsidR="00784046" w:rsidRPr="00A51CBC" w:rsidRDefault="00784046" w:rsidP="001F13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UNIVERSIDAD </w:t>
            </w:r>
            <w:r w:rsidR="00DB314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AUTÓNOMA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</w:t>
            </w:r>
            <w:r w:rsidR="00F337E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TLAXCALA</w:t>
            </w:r>
          </w:p>
        </w:tc>
      </w:tr>
      <w:tr w:rsidR="00784046" w:rsidRPr="00A51CBC" w14:paraId="46A35A82" w14:textId="77777777" w:rsidTr="003D4AFB">
        <w:trPr>
          <w:trHeight w:val="390"/>
        </w:trPr>
        <w:tc>
          <w:tcPr>
            <w:tcW w:w="3461" w:type="dxa"/>
          </w:tcPr>
          <w:p w14:paraId="02FE12E3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68274C34" w14:textId="1E8AE791" w:rsidR="00784046" w:rsidRPr="00A51CBC" w:rsidRDefault="00270572" w:rsidP="001F13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2002</w:t>
            </w:r>
            <w:r w:rsidR="0078404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2007</w:t>
            </w:r>
          </w:p>
        </w:tc>
      </w:tr>
      <w:tr w:rsidR="00784046" w:rsidRPr="00A51CBC" w14:paraId="0D0D5971" w14:textId="77777777" w:rsidTr="003D4AFB">
        <w:trPr>
          <w:trHeight w:val="390"/>
        </w:trPr>
        <w:tc>
          <w:tcPr>
            <w:tcW w:w="3461" w:type="dxa"/>
          </w:tcPr>
          <w:p w14:paraId="03D40220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77623161" w14:textId="77777777" w:rsidR="00784046" w:rsidRPr="00A51CBC" w:rsidRDefault="00784046" w:rsidP="001F13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PROFESIONAL</w:t>
            </w:r>
          </w:p>
        </w:tc>
      </w:tr>
      <w:tr w:rsidR="00784046" w:rsidRPr="00A51CBC" w14:paraId="004E25D0" w14:textId="77777777" w:rsidTr="003D4AFB">
        <w:trPr>
          <w:trHeight w:val="390"/>
        </w:trPr>
        <w:tc>
          <w:tcPr>
            <w:tcW w:w="3461" w:type="dxa"/>
          </w:tcPr>
          <w:p w14:paraId="542CF9A0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5C714418" w14:textId="77777777" w:rsidR="00784046" w:rsidRPr="00A51CBC" w:rsidRDefault="00784046" w:rsidP="001F13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784046" w:rsidRPr="00A51CBC" w14:paraId="40B5A0C1" w14:textId="77777777" w:rsidTr="003D4AFB">
        <w:trPr>
          <w:trHeight w:val="390"/>
        </w:trPr>
        <w:tc>
          <w:tcPr>
            <w:tcW w:w="3461" w:type="dxa"/>
          </w:tcPr>
          <w:p w14:paraId="510D4EEA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06994340" w14:textId="6DD48C1B" w:rsidR="00784046" w:rsidRPr="00270572" w:rsidRDefault="00270572" w:rsidP="001F130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70572">
              <w:rPr>
                <w:rFonts w:eastAsia="Calibri" w:cstheme="minorHAnsi"/>
                <w:b/>
                <w:bCs/>
                <w:sz w:val="24"/>
                <w:szCs w:val="24"/>
                <w:lang w:val="es-AR"/>
              </w:rPr>
              <w:t>5467911</w:t>
            </w:r>
          </w:p>
        </w:tc>
      </w:tr>
      <w:tr w:rsidR="00784046" w:rsidRPr="00A51CBC" w14:paraId="5980A199" w14:textId="77777777" w:rsidTr="003D4AFB">
        <w:trPr>
          <w:trHeight w:val="390"/>
        </w:trPr>
        <w:tc>
          <w:tcPr>
            <w:tcW w:w="3461" w:type="dxa"/>
          </w:tcPr>
          <w:p w14:paraId="12E4CFED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F097955" w14:textId="6D181041" w:rsidR="00784046" w:rsidRPr="00A51CBC" w:rsidRDefault="00270572" w:rsidP="001F13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MAESTRIA EN DERECHO CIVIL Y FAMILIAR</w:t>
            </w:r>
            <w:r w:rsidR="00E83A3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(TERMINADA)</w:t>
            </w:r>
          </w:p>
        </w:tc>
      </w:tr>
      <w:tr w:rsidR="00784046" w:rsidRPr="00A51CBC" w14:paraId="7CD19B4A" w14:textId="77777777" w:rsidTr="003D4AFB">
        <w:trPr>
          <w:trHeight w:val="390"/>
        </w:trPr>
        <w:tc>
          <w:tcPr>
            <w:tcW w:w="3461" w:type="dxa"/>
          </w:tcPr>
          <w:p w14:paraId="36C43DD4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2184C04A" w14:textId="53700068" w:rsidR="00784046" w:rsidRPr="00A51CBC" w:rsidRDefault="00270572" w:rsidP="001F13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CENTROS DE ESTUDIOS SUPERIORES DE TLAXCALA</w:t>
            </w:r>
          </w:p>
        </w:tc>
      </w:tr>
      <w:tr w:rsidR="00784046" w:rsidRPr="00A51CBC" w14:paraId="3D8F9D39" w14:textId="77777777" w:rsidTr="003D4AFB">
        <w:trPr>
          <w:trHeight w:val="390"/>
        </w:trPr>
        <w:tc>
          <w:tcPr>
            <w:tcW w:w="3461" w:type="dxa"/>
          </w:tcPr>
          <w:p w14:paraId="103F5FDF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6A4D9665" w14:textId="5817BBBF" w:rsidR="00784046" w:rsidRPr="00A51CBC" w:rsidRDefault="0072359D" w:rsidP="001F13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  <w:r w:rsidR="0027057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22-2024</w:t>
            </w:r>
          </w:p>
        </w:tc>
      </w:tr>
      <w:tr w:rsidR="00784046" w:rsidRPr="00A51CBC" w14:paraId="76D1EE22" w14:textId="77777777" w:rsidTr="003D4AFB">
        <w:trPr>
          <w:trHeight w:val="390"/>
        </w:trPr>
        <w:tc>
          <w:tcPr>
            <w:tcW w:w="3461" w:type="dxa"/>
          </w:tcPr>
          <w:p w14:paraId="498F6933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1DC3AD09" w14:textId="2B2BFE46" w:rsidR="00784046" w:rsidRPr="00A51CBC" w:rsidRDefault="0072359D" w:rsidP="001F13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CONSTANCIA</w:t>
            </w:r>
          </w:p>
        </w:tc>
      </w:tr>
      <w:tr w:rsidR="00784046" w:rsidRPr="00A51CBC" w14:paraId="6599C6DB" w14:textId="77777777" w:rsidTr="003D4AFB">
        <w:trPr>
          <w:trHeight w:val="390"/>
        </w:trPr>
        <w:tc>
          <w:tcPr>
            <w:tcW w:w="3461" w:type="dxa"/>
          </w:tcPr>
          <w:p w14:paraId="6EA99392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7A8F46BD" w14:textId="55021581" w:rsidR="00784046" w:rsidRPr="00A51CBC" w:rsidRDefault="0072359D" w:rsidP="001F13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 TRÁMITE</w:t>
            </w:r>
          </w:p>
        </w:tc>
      </w:tr>
    </w:tbl>
    <w:p w14:paraId="576EA5AF" w14:textId="77777777" w:rsidR="00784046" w:rsidRPr="00A51CBC" w:rsidRDefault="00784046" w:rsidP="0078404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AD71A84" w14:textId="77777777" w:rsidR="00784046" w:rsidRPr="00A51CBC" w:rsidRDefault="00784046" w:rsidP="0078404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784046" w:rsidRPr="00A51CBC" w14:paraId="47234BD9" w14:textId="77777777" w:rsidTr="00DB3141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14:paraId="39212207" w14:textId="59D53C50" w:rsidR="00784046" w:rsidRPr="00DA5D7E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270572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784046" w:rsidRPr="00A51CBC" w14:paraId="46640429" w14:textId="77777777" w:rsidTr="00DB3141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30218D7D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123DBD18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658BFC89" w14:textId="6116BB55" w:rsidR="00784046" w:rsidRPr="00A51CBC" w:rsidRDefault="00270572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  <w:r w:rsidR="00DB314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 w:rsidR="00DB314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</w:t>
            </w:r>
            <w:r w:rsidR="00DB314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</w:t>
            </w:r>
            <w:r w:rsidR="000A5C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</w:t>
            </w:r>
            <w:r w:rsidR="00DB314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  <w:r w:rsidR="00DB314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 w:rsidR="00DB314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</w:tr>
      <w:tr w:rsidR="00784046" w:rsidRPr="00A51CBC" w14:paraId="50110CAE" w14:textId="77777777" w:rsidTr="00DB3141">
        <w:trPr>
          <w:trHeight w:val="315"/>
        </w:trPr>
        <w:tc>
          <w:tcPr>
            <w:tcW w:w="4081" w:type="dxa"/>
            <w:gridSpan w:val="2"/>
            <w:vAlign w:val="center"/>
          </w:tcPr>
          <w:p w14:paraId="0600846C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5CE4C972" w14:textId="106A6BC3" w:rsidR="00784046" w:rsidRPr="00A51CBC" w:rsidRDefault="00270572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H. </w:t>
            </w:r>
            <w:r w:rsidR="00DB314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Ayuntamiento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Tepetitla de Lardizábal, Tlaxcala</w:t>
            </w:r>
          </w:p>
        </w:tc>
      </w:tr>
      <w:tr w:rsidR="00784046" w:rsidRPr="00A51CBC" w14:paraId="3615EAF9" w14:textId="77777777" w:rsidTr="00DB3141">
        <w:trPr>
          <w:trHeight w:val="390"/>
        </w:trPr>
        <w:tc>
          <w:tcPr>
            <w:tcW w:w="4081" w:type="dxa"/>
            <w:gridSpan w:val="2"/>
            <w:vAlign w:val="center"/>
          </w:tcPr>
          <w:p w14:paraId="39204920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6A22944" w14:textId="6E64481E" w:rsidR="00784046" w:rsidRPr="00A51CBC" w:rsidRDefault="00270572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 Municipal</w:t>
            </w:r>
          </w:p>
        </w:tc>
      </w:tr>
      <w:tr w:rsidR="00784046" w:rsidRPr="00A51CBC" w14:paraId="322164F3" w14:textId="77777777" w:rsidTr="00DB3141">
        <w:trPr>
          <w:trHeight w:val="390"/>
        </w:trPr>
        <w:tc>
          <w:tcPr>
            <w:tcW w:w="4081" w:type="dxa"/>
            <w:gridSpan w:val="2"/>
            <w:vAlign w:val="center"/>
          </w:tcPr>
          <w:p w14:paraId="01E42110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7D504AF" w14:textId="13BDDAD9" w:rsidR="00784046" w:rsidRPr="00A51CBC" w:rsidRDefault="00270572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Materia Civil, Familiar y Conciliación </w:t>
            </w:r>
          </w:p>
        </w:tc>
      </w:tr>
      <w:tr w:rsidR="00784046" w:rsidRPr="00A51CBC" w14:paraId="28F0B2C0" w14:textId="77777777" w:rsidTr="00DB3141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462A91AC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6A2353B1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684E8FD4" w14:textId="50E0F9A3" w:rsidR="00784046" w:rsidRPr="00A51CBC" w:rsidRDefault="000A5C57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  <w:r w:rsidR="00DB314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DB314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al 10/10/2011</w:t>
            </w:r>
          </w:p>
        </w:tc>
      </w:tr>
      <w:tr w:rsidR="00784046" w:rsidRPr="00A51CBC" w14:paraId="3831B5E5" w14:textId="77777777" w:rsidTr="00DB3141">
        <w:trPr>
          <w:trHeight w:val="315"/>
        </w:trPr>
        <w:tc>
          <w:tcPr>
            <w:tcW w:w="4081" w:type="dxa"/>
            <w:gridSpan w:val="2"/>
            <w:vAlign w:val="center"/>
          </w:tcPr>
          <w:p w14:paraId="35063775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A8A56D3" w14:textId="16C868A4" w:rsidR="00784046" w:rsidRPr="00A51CBC" w:rsidRDefault="000A5C57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H. </w:t>
            </w:r>
            <w:r w:rsidR="00DB314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Ayuntamiento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Nativitas, Tlaxcala</w:t>
            </w:r>
          </w:p>
        </w:tc>
      </w:tr>
      <w:tr w:rsidR="00784046" w:rsidRPr="00A51CBC" w14:paraId="7D2FBA6F" w14:textId="77777777" w:rsidTr="00DB3141">
        <w:trPr>
          <w:trHeight w:val="390"/>
        </w:trPr>
        <w:tc>
          <w:tcPr>
            <w:tcW w:w="4081" w:type="dxa"/>
            <w:gridSpan w:val="2"/>
            <w:vAlign w:val="center"/>
          </w:tcPr>
          <w:p w14:paraId="661BD27A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4668CAD" w14:textId="3C632F5C" w:rsidR="00784046" w:rsidRPr="00A51CBC" w:rsidRDefault="000A5C57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Director de Turismo</w:t>
            </w:r>
            <w:r w:rsidR="009B237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de Protección Civil</w:t>
            </w:r>
          </w:p>
        </w:tc>
      </w:tr>
      <w:tr w:rsidR="00784046" w:rsidRPr="00A51CBC" w14:paraId="6BC7192F" w14:textId="77777777" w:rsidTr="00DB3141">
        <w:trPr>
          <w:trHeight w:val="390"/>
        </w:trPr>
        <w:tc>
          <w:tcPr>
            <w:tcW w:w="4081" w:type="dxa"/>
            <w:gridSpan w:val="2"/>
            <w:vAlign w:val="center"/>
          </w:tcPr>
          <w:p w14:paraId="2B10429D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9D8587A" w14:textId="293E4D7C" w:rsidR="00784046" w:rsidRPr="00A51CBC" w:rsidRDefault="000A5C57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Convenios de difusión </w:t>
            </w:r>
            <w:r w:rsidR="009B237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 administración de personal</w:t>
            </w:r>
          </w:p>
        </w:tc>
      </w:tr>
      <w:tr w:rsidR="00DB3141" w:rsidRPr="00A51CBC" w14:paraId="0322A345" w14:textId="77777777" w:rsidTr="00DB3141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501E0A3F" w14:textId="77777777" w:rsidR="00DB3141" w:rsidRPr="00A51CBC" w:rsidRDefault="00DB3141" w:rsidP="00DB314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2B7BFB90" w14:textId="77777777" w:rsidR="00DB3141" w:rsidRPr="00A51CBC" w:rsidRDefault="00DB3141" w:rsidP="00DB314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4E6E93A3" w14:textId="6C84E56C" w:rsidR="00DB3141" w:rsidRPr="00A51CBC" w:rsidRDefault="000A5C57" w:rsidP="00DB314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  <w:r w:rsidR="00DB314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 w:rsidR="00DB314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011 al 15/03/2012</w:t>
            </w:r>
          </w:p>
        </w:tc>
      </w:tr>
      <w:tr w:rsidR="00DB3141" w:rsidRPr="00A51CBC" w14:paraId="40728BAE" w14:textId="3F6CB838" w:rsidTr="00DB3141">
        <w:trPr>
          <w:trHeight w:val="315"/>
        </w:trPr>
        <w:tc>
          <w:tcPr>
            <w:tcW w:w="4081" w:type="dxa"/>
            <w:gridSpan w:val="2"/>
            <w:vAlign w:val="center"/>
          </w:tcPr>
          <w:p w14:paraId="62DE3361" w14:textId="77777777" w:rsidR="00DB3141" w:rsidRPr="00A51CBC" w:rsidRDefault="00DB3141" w:rsidP="00DB314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8E4186E" w14:textId="145FFBB1" w:rsidR="00DB3141" w:rsidRPr="000A5C57" w:rsidRDefault="000A5C57" w:rsidP="00DB3141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A5C57">
              <w:rPr>
                <w:rFonts w:cstheme="minorHAnsi"/>
                <w:b/>
                <w:bCs/>
                <w:sz w:val="24"/>
                <w:szCs w:val="24"/>
              </w:rPr>
              <w:t>Congreso del Estado de Tlaxcala</w:t>
            </w:r>
          </w:p>
        </w:tc>
      </w:tr>
      <w:tr w:rsidR="00DB3141" w:rsidRPr="00A51CBC" w14:paraId="77774BD5" w14:textId="599C137F" w:rsidTr="00DB3141">
        <w:trPr>
          <w:trHeight w:val="390"/>
        </w:trPr>
        <w:tc>
          <w:tcPr>
            <w:tcW w:w="4081" w:type="dxa"/>
            <w:gridSpan w:val="2"/>
            <w:vAlign w:val="center"/>
          </w:tcPr>
          <w:p w14:paraId="05655D4B" w14:textId="77777777" w:rsidR="00DB3141" w:rsidRPr="00A51CBC" w:rsidRDefault="00DB3141" w:rsidP="00DB314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3A4C8AD" w14:textId="52E81E72" w:rsidR="00DB3141" w:rsidRPr="000A5C57" w:rsidRDefault="000A5C57" w:rsidP="0072359D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0A5C57">
              <w:rPr>
                <w:b/>
                <w:bCs/>
                <w:sz w:val="24"/>
                <w:szCs w:val="24"/>
              </w:rPr>
              <w:t>Asesor Jurídico</w:t>
            </w:r>
          </w:p>
        </w:tc>
      </w:tr>
      <w:tr w:rsidR="00DB3141" w:rsidRPr="00A51CBC" w14:paraId="54DFC3ED" w14:textId="4603439A" w:rsidTr="00DB3141">
        <w:trPr>
          <w:trHeight w:val="390"/>
        </w:trPr>
        <w:tc>
          <w:tcPr>
            <w:tcW w:w="4081" w:type="dxa"/>
            <w:gridSpan w:val="2"/>
            <w:vAlign w:val="center"/>
          </w:tcPr>
          <w:p w14:paraId="36A5112E" w14:textId="77777777" w:rsidR="00DB3141" w:rsidRPr="00A51CBC" w:rsidRDefault="00DB3141" w:rsidP="00DB314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064537C0" w14:textId="45121B53" w:rsidR="00DB3141" w:rsidRPr="00A51CBC" w:rsidRDefault="00DB3141" w:rsidP="00DB3141">
            <w:pPr>
              <w:spacing w:after="160" w:line="259" w:lineRule="auto"/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0A5C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Resolver asuntos de carácter Civil, Familiar y de Gestión Municipal.</w:t>
            </w:r>
          </w:p>
        </w:tc>
      </w:tr>
    </w:tbl>
    <w:p w14:paraId="276C43ED" w14:textId="77777777" w:rsidR="00784046" w:rsidRPr="00A51CBC" w:rsidRDefault="00784046" w:rsidP="0078404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784046" w:rsidRPr="00A51CBC" w14:paraId="02F20773" w14:textId="77777777" w:rsidTr="003D4AFB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14:paraId="7F7692FE" w14:textId="7A606D48" w:rsidR="00784046" w:rsidRPr="00DA5D7E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DB3141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784046" w:rsidRPr="00A51CBC" w14:paraId="600C1B13" w14:textId="77777777" w:rsidTr="003D4AFB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1A146CEB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33C0B" w:themeFill="accent2" w:themeFillShade="80"/>
          </w:tcPr>
          <w:p w14:paraId="1CA3384F" w14:textId="77777777" w:rsidR="00784046" w:rsidRPr="00DA5D7E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3CB3FD60" w14:textId="77777777" w:rsidR="00784046" w:rsidRPr="00DA5D7E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9C64B9" w:rsidRPr="00A51CBC" w14:paraId="24F626B6" w14:textId="77777777" w:rsidTr="003D4AFB">
        <w:trPr>
          <w:trHeight w:val="375"/>
        </w:trPr>
        <w:tc>
          <w:tcPr>
            <w:tcW w:w="993" w:type="dxa"/>
          </w:tcPr>
          <w:p w14:paraId="4B778184" w14:textId="77777777" w:rsidR="009C64B9" w:rsidRPr="00A51CBC" w:rsidRDefault="009C64B9" w:rsidP="009C64B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09617363" w14:textId="6F5CC7BD" w:rsidR="009C64B9" w:rsidRPr="00A51CBC" w:rsidRDefault="000A5C57" w:rsidP="001F13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  <w:r w:rsidR="00B60E9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el Juzgado Civil y Familiar de Lardizábal y Uribe, Oficial de Partes del Distrito Judicial de Juárez,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Oficialía Común del distrito Judicial de Cuauhtémoc, </w:t>
            </w:r>
            <w:r w:rsidR="001F13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Oficial de Partes del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Cuarto</w:t>
            </w:r>
            <w:r w:rsidR="00B60E9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Civil del distrito Judicial de Cuauhtémoc, </w:t>
            </w:r>
            <w:r w:rsidR="001F13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Oficial de Partes del </w:t>
            </w:r>
            <w:r w:rsidR="00B60E9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Cuarto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Familiar del distrito Judicial de Cuauhtémoc</w:t>
            </w:r>
            <w:r w:rsidR="00B60E9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, Oficial de Partes del Juzgado Civil de Zaragoza, Oficial de Partes del Juzgado de Ejecución de Sanciones Penales y Justicia Para Adolescentes, Oficial de Partes en el Juzgado Primero Laboral y </w:t>
            </w:r>
            <w:proofErr w:type="spellStart"/>
            <w:r w:rsidR="00B60E9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  <w:r w:rsidR="00B60E9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el Juzgado Civil de Lardizábal y Uribe así como también </w:t>
            </w:r>
            <w:proofErr w:type="spellStart"/>
            <w:r w:rsidR="00B60E9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  <w:r w:rsidR="00B60E9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el Juzgado Cuarto Familiar del distrito Judicial de Cuauhtémoc</w:t>
            </w:r>
            <w:r w:rsidR="009B237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, </w:t>
            </w:r>
            <w:r w:rsidR="00B60E9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del Juzgado Laboral</w:t>
            </w:r>
            <w:r w:rsidR="009B237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., actualmente Oficial de Partes del Juzgado Mercantil y de Oralidad Mercantil</w:t>
            </w:r>
            <w:r w:rsidR="00E83A3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, </w:t>
            </w:r>
            <w:proofErr w:type="spellStart"/>
            <w:r w:rsidR="00E83A3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  <w:r w:rsidR="00E83A3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la </w:t>
            </w:r>
            <w:r w:rsidR="00E83A3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Contraloría del Poder Judicial del Tribunal, Oficial de Partes del Juzgado Civil de Morelos, Asistente de Notificación del Distrito de Guridi y Alcocer, actualmente Oficial de Partes del Juzgado Civil de Morelos.</w:t>
            </w:r>
          </w:p>
        </w:tc>
        <w:tc>
          <w:tcPr>
            <w:tcW w:w="2977" w:type="dxa"/>
          </w:tcPr>
          <w:p w14:paraId="7A9443B3" w14:textId="0BE2C67B" w:rsidR="009C64B9" w:rsidRPr="00A51CBC" w:rsidRDefault="00B60E9D" w:rsidP="009C64B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De 15 de marzo del 2012 a la fecha</w:t>
            </w:r>
            <w:r w:rsidR="00F337E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14:paraId="1832460C" w14:textId="77777777" w:rsidR="004B6ACD" w:rsidRPr="00A51CBC" w:rsidRDefault="004B6ACD" w:rsidP="0078404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752"/>
        <w:gridCol w:w="2910"/>
        <w:gridCol w:w="1701"/>
      </w:tblGrid>
      <w:tr w:rsidR="00784046" w:rsidRPr="00A51CBC" w14:paraId="467C4522" w14:textId="77777777" w:rsidTr="003D4AFB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25C86063" w14:textId="77777777" w:rsidR="00784046" w:rsidRPr="00DC0CE8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13267C53" w14:textId="77777777" w:rsidR="00784046" w:rsidRPr="00DC0CE8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784046" w:rsidRPr="00A51CBC" w14:paraId="3C614B34" w14:textId="77777777" w:rsidTr="00BC3D98">
        <w:trPr>
          <w:trHeight w:val="705"/>
        </w:trPr>
        <w:tc>
          <w:tcPr>
            <w:tcW w:w="993" w:type="dxa"/>
            <w:shd w:val="clear" w:color="auto" w:fill="833C0B" w:themeFill="accent2" w:themeFillShade="80"/>
          </w:tcPr>
          <w:p w14:paraId="2875000C" w14:textId="77777777" w:rsidR="00784046" w:rsidRPr="00DC0CE8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3752" w:type="dxa"/>
            <w:shd w:val="clear" w:color="auto" w:fill="833C0B" w:themeFill="accent2" w:themeFillShade="80"/>
          </w:tcPr>
          <w:p w14:paraId="2B8F85E8" w14:textId="77777777" w:rsidR="00784046" w:rsidRPr="00DC0CE8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910" w:type="dxa"/>
            <w:shd w:val="clear" w:color="auto" w:fill="833C0B" w:themeFill="accent2" w:themeFillShade="80"/>
          </w:tcPr>
          <w:p w14:paraId="3C10DBF0" w14:textId="77777777" w:rsidR="00784046" w:rsidRPr="00DC0CE8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14:paraId="6DD26B0A" w14:textId="77777777" w:rsidR="00784046" w:rsidRPr="00DC0CE8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784046" w:rsidRPr="00A51CBC" w14:paraId="7E924700" w14:textId="77777777" w:rsidTr="00BC3D98">
        <w:trPr>
          <w:trHeight w:val="409"/>
        </w:trPr>
        <w:tc>
          <w:tcPr>
            <w:tcW w:w="993" w:type="dxa"/>
          </w:tcPr>
          <w:p w14:paraId="7B8EEB5E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752" w:type="dxa"/>
          </w:tcPr>
          <w:p w14:paraId="34E8816A" w14:textId="77821847" w:rsidR="00784046" w:rsidRPr="00A51CBC" w:rsidRDefault="001F1309" w:rsidP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MAGISTRADO PRESIDENTE JOSÉ LUMBRERAS GARCÍA </w:t>
            </w:r>
          </w:p>
        </w:tc>
        <w:tc>
          <w:tcPr>
            <w:tcW w:w="2910" w:type="dxa"/>
          </w:tcPr>
          <w:p w14:paraId="56B99A8B" w14:textId="4BCB3513" w:rsidR="00784046" w:rsidRPr="00A51CBC" w:rsidRDefault="001F1309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Electoral de Tlaxcala</w:t>
            </w:r>
          </w:p>
        </w:tc>
        <w:tc>
          <w:tcPr>
            <w:tcW w:w="1701" w:type="dxa"/>
          </w:tcPr>
          <w:p w14:paraId="296ABAF0" w14:textId="0C3A33C5" w:rsidR="00784046" w:rsidRPr="00A51CBC" w:rsidRDefault="001F1309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 de febrero 2021</w:t>
            </w:r>
          </w:p>
        </w:tc>
      </w:tr>
      <w:tr w:rsidR="00D96F99" w:rsidRPr="00A51CBC" w14:paraId="5BF7077A" w14:textId="77777777" w:rsidTr="00BC3D98">
        <w:trPr>
          <w:trHeight w:val="255"/>
        </w:trPr>
        <w:tc>
          <w:tcPr>
            <w:tcW w:w="993" w:type="dxa"/>
          </w:tcPr>
          <w:p w14:paraId="4CBAC595" w14:textId="77777777" w:rsidR="00D96F99" w:rsidRPr="00A51CBC" w:rsidRDefault="00D96F99" w:rsidP="00D96F9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752" w:type="dxa"/>
          </w:tcPr>
          <w:p w14:paraId="343AC543" w14:textId="3E77BE0A" w:rsidR="00D96F99" w:rsidRPr="00A51CBC" w:rsidRDefault="007C4AE5" w:rsidP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LIC. ADRIANA BRACHO ALEGRIA</w:t>
            </w:r>
            <w:r w:rsidR="00CF23E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PONENTE DIVERSO</w:t>
            </w:r>
          </w:p>
        </w:tc>
        <w:tc>
          <w:tcPr>
            <w:tcW w:w="2910" w:type="dxa"/>
          </w:tcPr>
          <w:p w14:paraId="4DAE76E7" w14:textId="4787C818" w:rsidR="00D96F99" w:rsidRPr="00A51CBC" w:rsidRDefault="00D96F99" w:rsidP="00D96F9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</w:t>
            </w:r>
            <w:r w:rsidR="007C4AE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entro de Estudios Superiores en materia de Derecho Fiscal y Administrativo</w:t>
            </w:r>
          </w:p>
        </w:tc>
        <w:tc>
          <w:tcPr>
            <w:tcW w:w="1701" w:type="dxa"/>
          </w:tcPr>
          <w:p w14:paraId="39145469" w14:textId="1C1C4D8A" w:rsidR="00D96F99" w:rsidRPr="00A51CBC" w:rsidRDefault="007C4AE5" w:rsidP="00D96F9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marzo de 2021</w:t>
            </w:r>
          </w:p>
        </w:tc>
      </w:tr>
      <w:tr w:rsidR="00FB4BF3" w14:paraId="37713922" w14:textId="77777777" w:rsidTr="00BC3D98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ED67" w14:textId="3CE7FDDB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312B" w14:textId="41424F01" w:rsidR="00FB4BF3" w:rsidRDefault="007C4AE5" w:rsidP="007C4AE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LIC. MIDORY CASTRO BAÑUELOS Y JUEZ MARIANO REYES LANDA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15FD" w14:textId="509730B4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</w:t>
            </w:r>
            <w:r w:rsidR="007C4AE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ribunal Superior de Justicia en 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5CCE" w14:textId="61DF3D97" w:rsidR="00FB4BF3" w:rsidRDefault="007C4AE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 de abril de 2023</w:t>
            </w:r>
          </w:p>
        </w:tc>
      </w:tr>
      <w:tr w:rsidR="00FB4BF3" w14:paraId="699238D2" w14:textId="77777777" w:rsidTr="00BC3D98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DC83" w14:textId="77777777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2EDD" w14:textId="5AC8F9D2" w:rsidR="00FB4BF3" w:rsidRDefault="00264561" w:rsidP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PONENTE DIVERSO</w:t>
            </w:r>
            <w:r w:rsidR="007C4AE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9300" w14:textId="382BDCA3" w:rsidR="00FB4BF3" w:rsidRDefault="007C4AE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la Cultura Jurídica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21D" w14:textId="0CFE18AB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7C4AE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 de abril de 2023</w:t>
            </w:r>
          </w:p>
          <w:p w14:paraId="53832794" w14:textId="77777777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B4BF3" w14:paraId="36F88EBC" w14:textId="77777777" w:rsidTr="00CF23EB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C88E" w14:textId="2842E5C6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A57E" w14:textId="638DBBC7" w:rsidR="00FB4BF3" w:rsidRDefault="00264561" w:rsidP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DR. JOSÉ ZAMORA GRANT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83C8" w14:textId="2628486B" w:rsidR="00FB4BF3" w:rsidRDefault="00CF23E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la Cultura Jurídica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3B30" w14:textId="09472B4B" w:rsidR="00FB4BF3" w:rsidRDefault="0026456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 de junio de 2023</w:t>
            </w:r>
          </w:p>
        </w:tc>
      </w:tr>
      <w:tr w:rsidR="005A6BA7" w14:paraId="0FEE8FC1" w14:textId="77777777" w:rsidTr="00BC3D98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499" w14:textId="10D96514" w:rsidR="005A6BA7" w:rsidRDefault="005A6B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6.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C06" w14:textId="10D96ECD" w:rsidR="005A6BA7" w:rsidRDefault="00264561" w:rsidP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PONENTE DIVERSO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9618" w14:textId="4BF860BA" w:rsidR="005A6BA7" w:rsidRDefault="00CF23E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la Cultura Jurídica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F07B" w14:textId="3AA7CFD7" w:rsidR="005A6BA7" w:rsidRDefault="00CF23E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junio de 2023</w:t>
            </w:r>
          </w:p>
        </w:tc>
      </w:tr>
      <w:tr w:rsidR="002160DA" w14:paraId="3583E426" w14:textId="77777777" w:rsidTr="00BC3D98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A10A" w14:textId="2E01F5AC" w:rsidR="002160DA" w:rsidRDefault="002160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A16B" w14:textId="05F219ED" w:rsidR="002160DA" w:rsidRDefault="00CF23EB" w:rsidP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PONENTE DIVERSO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8D32" w14:textId="27E55277" w:rsidR="002160DA" w:rsidRDefault="00CF23E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la Cultura Jurídica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C70" w14:textId="21ED0F12" w:rsidR="002160DA" w:rsidRDefault="00CF23E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 de junio de 2023</w:t>
            </w:r>
          </w:p>
        </w:tc>
      </w:tr>
      <w:tr w:rsidR="00BC3D98" w14:paraId="1E165E6D" w14:textId="77777777" w:rsidTr="00BC3D98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3A8C" w14:textId="462600B2" w:rsidR="00BC3D98" w:rsidRDefault="00F714B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  <w:r w:rsidR="00BC3D9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AF0" w14:textId="479E2ED4" w:rsidR="00BC3D98" w:rsidRDefault="00CF23EB" w:rsidP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ALEJANDRO HERRERA MACIAS Y PONENTE DIVERSO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7E3B" w14:textId="082E0239" w:rsidR="00BC3D98" w:rsidRDefault="00CF23E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la Cultura Jurídica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66B" w14:textId="253DE997" w:rsidR="00BC3D98" w:rsidRDefault="00CF23E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 de agosto de 2023</w:t>
            </w:r>
          </w:p>
        </w:tc>
      </w:tr>
      <w:tr w:rsidR="00E83A30" w14:paraId="0DB1B007" w14:textId="77777777" w:rsidTr="00BC3D98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5973" w14:textId="13EF9964" w:rsidR="00E83A30" w:rsidRDefault="00E83A3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9.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8211" w14:textId="4F30C58C" w:rsidR="00E83A30" w:rsidRDefault="00E83A30" w:rsidP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DIVERSOS JUECES Y MAGISTRADOS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B898" w14:textId="75980F6C" w:rsidR="00E83A30" w:rsidRDefault="00E83A3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del Tribunal Superior de Justicia del Estado.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60C7" w14:textId="4509ABC2" w:rsidR="00E83A30" w:rsidRDefault="00E83A3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</w:t>
            </w:r>
          </w:p>
        </w:tc>
      </w:tr>
    </w:tbl>
    <w:p w14:paraId="6544C851" w14:textId="77777777" w:rsidR="00784046" w:rsidRDefault="00784046" w:rsidP="0078404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AC5C736" w14:textId="77777777" w:rsidR="00784046" w:rsidRDefault="00784046" w:rsidP="0078404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784046" w:rsidRPr="00801536" w14:paraId="023C81C9" w14:textId="77777777" w:rsidTr="003D4AFB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0A5BE3BD" w14:textId="77777777" w:rsidR="00784046" w:rsidRPr="00801536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84046" w:rsidRPr="00801536" w14:paraId="4F93D234" w14:textId="77777777" w:rsidTr="003D4AFB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664BB15E" w14:textId="77777777" w:rsidR="00784046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0E04995" w14:textId="77777777" w:rsidR="00784046" w:rsidRPr="00801536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377388DC" w14:textId="77777777" w:rsidR="00784046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562E72" w14:textId="77777777" w:rsidR="00784046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1340BE82" w14:textId="77777777" w:rsidR="00784046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35D934B4" w14:textId="77777777" w:rsidR="00784046" w:rsidRPr="00801536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68C7AF0F" w14:textId="46237F38" w:rsidR="00784046" w:rsidRPr="00A80741" w:rsidRDefault="00784046" w:rsidP="003D4AFB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lastRenderedPageBreak/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r w:rsidR="009B2370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XVIII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lastRenderedPageBreak/>
              <w:t xml:space="preserve">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84046" w:rsidRPr="00801536" w14:paraId="684B760F" w14:textId="77777777" w:rsidTr="003D4AFB">
        <w:trPr>
          <w:trHeight w:val="375"/>
        </w:trPr>
        <w:tc>
          <w:tcPr>
            <w:tcW w:w="993" w:type="dxa"/>
          </w:tcPr>
          <w:p w14:paraId="74F3E31D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B5CC1A7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407DEFB8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3A624DB2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84046" w:rsidRPr="00801536" w14:paraId="253CCD39" w14:textId="77777777" w:rsidTr="003D4AFB">
        <w:trPr>
          <w:trHeight w:val="315"/>
        </w:trPr>
        <w:tc>
          <w:tcPr>
            <w:tcW w:w="993" w:type="dxa"/>
          </w:tcPr>
          <w:p w14:paraId="31FD19D5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55D4C7EF" w14:textId="1E0357E2" w:rsidR="00784046" w:rsidRPr="00715A9C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5F070792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BBA4D86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84046" w:rsidRPr="00801536" w14:paraId="6DF43AF8" w14:textId="77777777" w:rsidTr="003D4AFB">
        <w:trPr>
          <w:trHeight w:val="390"/>
        </w:trPr>
        <w:tc>
          <w:tcPr>
            <w:tcW w:w="993" w:type="dxa"/>
          </w:tcPr>
          <w:p w14:paraId="2899B862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C4355AE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3AB207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1CCC8AC4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D873E05" w14:textId="77777777" w:rsidR="00784046" w:rsidRPr="00801536" w:rsidRDefault="00784046" w:rsidP="0078404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58631E75" w14:textId="77777777" w:rsidR="00784046" w:rsidRPr="00801536" w:rsidRDefault="00784046" w:rsidP="0078404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784046" w:rsidRPr="00801536" w14:paraId="6BF8D187" w14:textId="77777777" w:rsidTr="003D4AFB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6D9443C5" w14:textId="77777777" w:rsidR="00784046" w:rsidRPr="00801536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84046" w:rsidRPr="00715A9C" w14:paraId="1074BECC" w14:textId="77777777" w:rsidTr="003D4AFB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438B16B6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9F328E5" w14:textId="08908E82" w:rsidR="00784046" w:rsidRPr="00715A9C" w:rsidRDefault="00784046" w:rsidP="00566DD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Tlaxcala, a </w:t>
            </w:r>
            <w:r w:rsidR="00E83A30">
              <w:rPr>
                <w:rFonts w:eastAsia="Times New Roman" w:cs="Arial"/>
                <w:b/>
                <w:sz w:val="24"/>
                <w:szCs w:val="24"/>
                <w:lang w:eastAsia="es-MX"/>
              </w:rPr>
              <w:t>30</w:t>
            </w:r>
            <w:r w:rsidR="00566DD4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E83A30">
              <w:rPr>
                <w:rFonts w:eastAsia="Times New Roman" w:cs="Arial"/>
                <w:b/>
                <w:sz w:val="24"/>
                <w:szCs w:val="24"/>
                <w:lang w:eastAsia="es-MX"/>
              </w:rPr>
              <w:t>septiembre</w:t>
            </w:r>
            <w:r w:rsidR="00566DD4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</w:t>
            </w:r>
            <w:r w:rsidR="00E83A30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84046" w:rsidRPr="00715A9C" w14:paraId="49B82A97" w14:textId="77777777" w:rsidTr="003D4AFB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69C85746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45C8F6FD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3946C52A" w14:textId="77777777" w:rsidR="00C2063D" w:rsidRDefault="00C2063D"/>
    <w:sectPr w:rsidR="00C2063D" w:rsidSect="00441D3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46"/>
    <w:rsid w:val="000A24FA"/>
    <w:rsid w:val="000A5C57"/>
    <w:rsid w:val="000E4EBD"/>
    <w:rsid w:val="001177E8"/>
    <w:rsid w:val="001F1309"/>
    <w:rsid w:val="00202ADA"/>
    <w:rsid w:val="0021232B"/>
    <w:rsid w:val="002160DA"/>
    <w:rsid w:val="00264561"/>
    <w:rsid w:val="00270572"/>
    <w:rsid w:val="002A4BBE"/>
    <w:rsid w:val="002C4B0F"/>
    <w:rsid w:val="00321D7F"/>
    <w:rsid w:val="003E137D"/>
    <w:rsid w:val="00441D3C"/>
    <w:rsid w:val="004B6ACD"/>
    <w:rsid w:val="00553F50"/>
    <w:rsid w:val="00564D53"/>
    <w:rsid w:val="00566DD4"/>
    <w:rsid w:val="00594526"/>
    <w:rsid w:val="005A6BA7"/>
    <w:rsid w:val="0068231F"/>
    <w:rsid w:val="006A5C75"/>
    <w:rsid w:val="007066B0"/>
    <w:rsid w:val="0072359D"/>
    <w:rsid w:val="00770E03"/>
    <w:rsid w:val="00781395"/>
    <w:rsid w:val="00784046"/>
    <w:rsid w:val="007C4AE5"/>
    <w:rsid w:val="0081305B"/>
    <w:rsid w:val="008D7D40"/>
    <w:rsid w:val="00923E58"/>
    <w:rsid w:val="009439A0"/>
    <w:rsid w:val="009736E7"/>
    <w:rsid w:val="00997E2A"/>
    <w:rsid w:val="009B2370"/>
    <w:rsid w:val="009C64B9"/>
    <w:rsid w:val="00A2209B"/>
    <w:rsid w:val="00B60E9D"/>
    <w:rsid w:val="00BB48C8"/>
    <w:rsid w:val="00BC3D98"/>
    <w:rsid w:val="00BE7727"/>
    <w:rsid w:val="00C2063D"/>
    <w:rsid w:val="00CB4D47"/>
    <w:rsid w:val="00CF23EB"/>
    <w:rsid w:val="00D124A9"/>
    <w:rsid w:val="00D30B95"/>
    <w:rsid w:val="00D53430"/>
    <w:rsid w:val="00D96F99"/>
    <w:rsid w:val="00DB3141"/>
    <w:rsid w:val="00E32E1B"/>
    <w:rsid w:val="00E447C5"/>
    <w:rsid w:val="00E62E09"/>
    <w:rsid w:val="00E83A30"/>
    <w:rsid w:val="00F337E2"/>
    <w:rsid w:val="00F714BB"/>
    <w:rsid w:val="00FB06A6"/>
    <w:rsid w:val="00FB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CA87"/>
  <w15:chartTrackingRefBased/>
  <w15:docId w15:val="{AA091D78-7388-4D55-9877-AA1B8ABB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4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4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CJ-TLAX-PC-113-1</dc:creator>
  <cp:keywords/>
  <dc:description/>
  <cp:lastModifiedBy>Jefa de Seccion 1</cp:lastModifiedBy>
  <cp:revision>2</cp:revision>
  <dcterms:created xsi:type="dcterms:W3CDTF">2025-10-01T16:55:00Z</dcterms:created>
  <dcterms:modified xsi:type="dcterms:W3CDTF">2025-10-01T16:55:00Z</dcterms:modified>
</cp:coreProperties>
</file>